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A0D75A">
      <w:pPr>
        <w:pStyle w:val="5"/>
        <w:numPr>
          <w:ilvl w:val="0"/>
          <w:numId w:val="0"/>
        </w:numPr>
        <w:spacing w:line="360" w:lineRule="auto"/>
        <w:rPr>
          <w:rFonts w:hint="eastAsia" w:ascii="仿宋" w:hAnsi="仿宋" w:eastAsia="仿宋" w:cs="仿宋"/>
          <w:b/>
          <w:bCs/>
          <w:color w:val="auto"/>
          <w:kern w:val="0"/>
          <w:sz w:val="28"/>
          <w:szCs w:val="28"/>
          <w:lang w:val="en-US" w:eastAsia="zh-CN" w:bidi="ar-SA"/>
        </w:rPr>
      </w:pPr>
      <w:r>
        <w:rPr>
          <w:rFonts w:hint="eastAsia" w:ascii="仿宋" w:hAnsi="仿宋" w:eastAsia="仿宋" w:cs="仿宋"/>
          <w:b/>
          <w:bCs/>
          <w:color w:val="auto"/>
          <w:kern w:val="0"/>
          <w:sz w:val="28"/>
          <w:szCs w:val="28"/>
          <w:lang w:val="en-US" w:eastAsia="zh-CN" w:bidi="ar-SA"/>
        </w:rPr>
        <w:t>附件：</w:t>
      </w:r>
      <w:bookmarkStart w:id="0" w:name="_Toc28730"/>
    </w:p>
    <w:p w14:paraId="4C21A8BB">
      <w:pPr>
        <w:pStyle w:val="5"/>
        <w:numPr>
          <w:ilvl w:val="0"/>
          <w:numId w:val="0"/>
        </w:numPr>
        <w:spacing w:line="360" w:lineRule="auto"/>
        <w:jc w:val="center"/>
        <w:rPr>
          <w:rFonts w:ascii="仿宋" w:hAnsi="仿宋" w:eastAsia="仿宋" w:cs="仿宋"/>
          <w:b/>
          <w:bCs/>
          <w:color w:val="auto"/>
          <w:sz w:val="32"/>
          <w:szCs w:val="32"/>
        </w:rPr>
      </w:pPr>
      <w:r>
        <w:rPr>
          <w:rFonts w:hint="eastAsia" w:ascii="仿宋" w:hAnsi="仿宋" w:eastAsia="仿宋" w:cs="仿宋"/>
          <w:b/>
          <w:bCs/>
          <w:color w:val="auto"/>
          <w:sz w:val="32"/>
          <w:szCs w:val="32"/>
        </w:rPr>
        <w:t>评</w:t>
      </w:r>
      <w:r>
        <w:rPr>
          <w:rFonts w:hint="eastAsia" w:ascii="仿宋" w:hAnsi="仿宋" w:eastAsia="仿宋" w:cs="仿宋"/>
          <w:b/>
          <w:bCs/>
          <w:color w:val="auto"/>
          <w:sz w:val="32"/>
          <w:szCs w:val="32"/>
          <w:lang w:eastAsia="zh-CN"/>
        </w:rPr>
        <w:t>分</w:t>
      </w:r>
      <w:r>
        <w:rPr>
          <w:rFonts w:hint="eastAsia" w:ascii="仿宋" w:hAnsi="仿宋" w:eastAsia="仿宋" w:cs="仿宋"/>
          <w:b/>
          <w:bCs/>
          <w:color w:val="auto"/>
          <w:sz w:val="32"/>
          <w:szCs w:val="32"/>
        </w:rPr>
        <w:t>方法及标准</w:t>
      </w:r>
      <w:bookmarkEnd w:id="0"/>
    </w:p>
    <w:p w14:paraId="448E7F9F">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firstLine="440" w:firstLineChars="200"/>
        <w:jc w:val="both"/>
        <w:textAlignment w:val="auto"/>
        <w:rPr>
          <w:rFonts w:hint="eastAsia" w:ascii="仿宋" w:hAnsi="仿宋" w:eastAsia="仿宋" w:cs="仿宋"/>
          <w:color w:val="auto"/>
          <w:sz w:val="22"/>
          <w:szCs w:val="22"/>
          <w:lang w:eastAsia="zh-CN"/>
        </w:rPr>
      </w:pPr>
      <w:bookmarkStart w:id="1" w:name="_Toc236130510"/>
      <w:bookmarkEnd w:id="1"/>
      <w:bookmarkStart w:id="2" w:name="_Toc236497134"/>
      <w:bookmarkEnd w:id="2"/>
      <w:bookmarkStart w:id="3" w:name="_Toc236130671"/>
      <w:bookmarkEnd w:id="3"/>
      <w:bookmarkStart w:id="4" w:name="_Toc236497060"/>
      <w:bookmarkEnd w:id="4"/>
      <w:r>
        <w:rPr>
          <w:rFonts w:hint="eastAsia" w:ascii="仿宋" w:hAnsi="仿宋" w:eastAsia="仿宋" w:cs="仿宋"/>
          <w:color w:val="auto"/>
          <w:sz w:val="22"/>
          <w:szCs w:val="22"/>
        </w:rPr>
        <w:t>本次</w:t>
      </w:r>
      <w:r>
        <w:rPr>
          <w:rFonts w:hint="eastAsia" w:ascii="仿宋" w:hAnsi="仿宋" w:eastAsia="仿宋" w:cs="仿宋"/>
          <w:color w:val="auto"/>
          <w:sz w:val="22"/>
          <w:szCs w:val="22"/>
          <w:lang w:eastAsia="zh-CN"/>
        </w:rPr>
        <w:t>商谈会</w:t>
      </w:r>
      <w:r>
        <w:rPr>
          <w:rFonts w:hint="eastAsia" w:ascii="仿宋" w:hAnsi="仿宋" w:eastAsia="仿宋" w:cs="仿宋"/>
          <w:color w:val="auto"/>
          <w:sz w:val="22"/>
          <w:szCs w:val="22"/>
        </w:rPr>
        <w:t>采用“综合评分法”，</w:t>
      </w:r>
      <w:r>
        <w:rPr>
          <w:rFonts w:hint="eastAsia" w:ascii="仿宋" w:hAnsi="仿宋" w:eastAsia="仿宋" w:cs="仿宋"/>
          <w:color w:val="auto"/>
          <w:sz w:val="22"/>
          <w:szCs w:val="22"/>
          <w:lang w:eastAsia="zh-CN"/>
        </w:rPr>
        <w:t>商谈小组成员</w:t>
      </w:r>
      <w:r>
        <w:rPr>
          <w:rFonts w:hint="eastAsia" w:ascii="仿宋" w:hAnsi="仿宋" w:eastAsia="仿宋" w:cs="仿宋"/>
          <w:color w:val="auto"/>
          <w:sz w:val="22"/>
          <w:szCs w:val="22"/>
        </w:rPr>
        <w:t>将按以下公式计算出各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的综合得分，统计分数原则为</w:t>
      </w:r>
      <w:r>
        <w:rPr>
          <w:rFonts w:hint="eastAsia" w:ascii="仿宋" w:hAnsi="仿宋" w:eastAsia="仿宋" w:cs="仿宋"/>
          <w:color w:val="auto"/>
          <w:sz w:val="22"/>
          <w:szCs w:val="22"/>
          <w:lang w:eastAsia="zh-CN"/>
        </w:rPr>
        <w:t>：计算</w:t>
      </w:r>
      <w:r>
        <w:rPr>
          <w:rFonts w:hint="eastAsia" w:ascii="仿宋" w:hAnsi="仿宋" w:eastAsia="仿宋" w:cs="仿宋"/>
          <w:color w:val="auto"/>
          <w:sz w:val="22"/>
          <w:szCs w:val="22"/>
        </w:rPr>
        <w:t>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的技术、</w:t>
      </w:r>
      <w:r>
        <w:rPr>
          <w:rFonts w:hint="eastAsia" w:ascii="仿宋" w:hAnsi="仿宋" w:eastAsia="仿宋" w:cs="仿宋"/>
          <w:color w:val="auto"/>
          <w:sz w:val="22"/>
          <w:szCs w:val="22"/>
          <w:lang w:val="en-US" w:eastAsia="zh-CN"/>
        </w:rPr>
        <w:t>商务</w:t>
      </w:r>
      <w:r>
        <w:rPr>
          <w:rFonts w:hint="eastAsia" w:ascii="仿宋" w:hAnsi="仿宋" w:eastAsia="仿宋" w:cs="仿宋"/>
          <w:color w:val="auto"/>
          <w:sz w:val="22"/>
          <w:szCs w:val="22"/>
        </w:rPr>
        <w:t>部分得分（保留小数点后两位）</w:t>
      </w:r>
      <w:r>
        <w:rPr>
          <w:rFonts w:hint="eastAsia" w:ascii="仿宋" w:hAnsi="仿宋" w:eastAsia="仿宋" w:cs="仿宋"/>
          <w:color w:val="auto"/>
          <w:sz w:val="22"/>
          <w:szCs w:val="22"/>
          <w:lang w:eastAsia="zh-CN"/>
        </w:rPr>
        <w:t>，</w:t>
      </w:r>
      <w:r>
        <w:rPr>
          <w:rFonts w:hint="eastAsia" w:ascii="仿宋" w:hAnsi="仿宋" w:eastAsia="仿宋" w:cs="仿宋"/>
          <w:color w:val="auto"/>
          <w:sz w:val="22"/>
          <w:szCs w:val="22"/>
        </w:rPr>
        <w:t>按得分由高到低推荐中标</w:t>
      </w:r>
      <w:r>
        <w:rPr>
          <w:rFonts w:hint="eastAsia" w:ascii="仿宋" w:hAnsi="仿宋" w:eastAsia="仿宋" w:cs="仿宋"/>
          <w:color w:val="auto"/>
          <w:sz w:val="22"/>
          <w:szCs w:val="22"/>
          <w:lang w:eastAsia="zh-CN"/>
        </w:rPr>
        <w:t>候选人。综合得分相同的，按报价得分由高到低排序；报价得分也相同的，按技术部分得分由高到低排序。</w:t>
      </w:r>
    </w:p>
    <w:p w14:paraId="6D641104">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rPr>
      </w:pPr>
      <w:r>
        <w:rPr>
          <w:rFonts w:hint="eastAsia" w:ascii="仿宋" w:hAnsi="仿宋" w:eastAsia="仿宋" w:cs="仿宋"/>
          <w:color w:val="auto"/>
          <w:sz w:val="22"/>
          <w:szCs w:val="22"/>
        </w:rPr>
        <w:t>公式：综合得分=F1+F2+F3</w:t>
      </w:r>
    </w:p>
    <w:p w14:paraId="103F2629">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color w:val="auto"/>
          <w:sz w:val="22"/>
          <w:szCs w:val="22"/>
          <w:lang w:eastAsia="zh-CN"/>
        </w:rPr>
      </w:pPr>
      <w:r>
        <w:rPr>
          <w:rFonts w:hint="eastAsia" w:ascii="仿宋" w:hAnsi="仿宋" w:eastAsia="仿宋" w:cs="仿宋"/>
          <w:color w:val="auto"/>
          <w:sz w:val="22"/>
          <w:szCs w:val="22"/>
        </w:rPr>
        <w:t>F1、F2、F3分别为价格部分、技术部分、</w:t>
      </w:r>
      <w:r>
        <w:rPr>
          <w:rFonts w:hint="eastAsia" w:ascii="仿宋" w:hAnsi="仿宋" w:eastAsia="仿宋" w:cs="仿宋"/>
          <w:color w:val="auto"/>
          <w:sz w:val="22"/>
          <w:szCs w:val="22"/>
          <w:lang w:val="en-US" w:eastAsia="zh-CN"/>
        </w:rPr>
        <w:t>商务部分</w:t>
      </w:r>
      <w:r>
        <w:rPr>
          <w:rFonts w:hint="eastAsia" w:ascii="仿宋" w:hAnsi="仿宋" w:eastAsia="仿宋" w:cs="仿宋"/>
          <w:color w:val="auto"/>
          <w:sz w:val="22"/>
          <w:szCs w:val="22"/>
        </w:rPr>
        <w:t>的得分</w:t>
      </w:r>
      <w:r>
        <w:rPr>
          <w:rFonts w:hint="eastAsia" w:ascii="仿宋" w:hAnsi="仿宋" w:eastAsia="仿宋" w:cs="仿宋"/>
          <w:color w:val="auto"/>
          <w:sz w:val="22"/>
          <w:szCs w:val="22"/>
          <w:lang w:eastAsia="zh-CN"/>
        </w:rPr>
        <w:t>。</w:t>
      </w:r>
    </w:p>
    <w:p w14:paraId="72EB5D90">
      <w:pPr>
        <w:pStyle w:val="16"/>
        <w:keepNext/>
        <w:keepLines/>
        <w:pageBreakBefore w:val="0"/>
        <w:widowControl w:val="0"/>
        <w:kinsoku/>
        <w:wordWrap/>
        <w:overflowPunct/>
        <w:topLinePunct w:val="0"/>
        <w:autoSpaceDE/>
        <w:autoSpaceDN/>
        <w:bidi w:val="0"/>
        <w:adjustRightInd/>
        <w:snapToGrid/>
        <w:spacing w:before="0" w:beforeAutospacing="0" w:after="0" w:afterAutospacing="0" w:line="240" w:lineRule="auto"/>
        <w:ind w:left="0" w:leftChars="0" w:firstLine="0" w:firstLineChars="0"/>
        <w:jc w:val="both"/>
        <w:textAlignment w:val="auto"/>
        <w:rPr>
          <w:rFonts w:hint="eastAsia" w:ascii="仿宋" w:hAnsi="仿宋" w:eastAsia="仿宋" w:cs="仿宋"/>
          <w:b/>
          <w:bCs/>
          <w:color w:val="auto"/>
          <w:sz w:val="22"/>
          <w:szCs w:val="22"/>
          <w:lang w:eastAsia="zh-CN"/>
        </w:rPr>
      </w:pPr>
      <w:r>
        <w:rPr>
          <w:rFonts w:hint="eastAsia" w:ascii="仿宋" w:hAnsi="仿宋" w:eastAsia="仿宋" w:cs="仿宋"/>
          <w:b/>
          <w:bCs/>
          <w:color w:val="auto"/>
          <w:sz w:val="22"/>
          <w:szCs w:val="22"/>
          <w:lang w:eastAsia="zh-CN"/>
        </w:rPr>
        <w:t>一、评审标准</w:t>
      </w:r>
    </w:p>
    <w:tbl>
      <w:tblPr>
        <w:tblStyle w:val="8"/>
        <w:tblW w:w="906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06"/>
        <w:gridCol w:w="1152"/>
        <w:gridCol w:w="6708"/>
      </w:tblGrid>
      <w:tr w14:paraId="53B0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D2EEFE2">
            <w:pPr>
              <w:spacing w:line="360" w:lineRule="auto"/>
              <w:jc w:val="center"/>
              <w:rPr>
                <w:rFonts w:hint="eastAsia" w:ascii="仿宋" w:hAnsi="仿宋" w:eastAsia="仿宋" w:cs="仿宋"/>
                <w:b w:val="0"/>
                <w:bCs w:val="0"/>
                <w:color w:val="auto"/>
                <w:sz w:val="22"/>
                <w:szCs w:val="22"/>
              </w:rPr>
            </w:pPr>
            <w:bookmarkStart w:id="5" w:name="_Toc236130511"/>
            <w:r>
              <w:rPr>
                <w:rFonts w:hint="eastAsia" w:ascii="仿宋" w:hAnsi="仿宋" w:eastAsia="仿宋" w:cs="仿宋"/>
                <w:b w:val="0"/>
                <w:bCs w:val="0"/>
                <w:color w:val="auto"/>
                <w:sz w:val="22"/>
                <w:szCs w:val="22"/>
              </w:rPr>
              <w:t>评审项目</w:t>
            </w:r>
            <w:bookmarkEnd w:id="5"/>
          </w:p>
        </w:tc>
        <w:tc>
          <w:tcPr>
            <w:tcW w:w="6708" w:type="dxa"/>
            <w:noWrap w:val="0"/>
            <w:vAlign w:val="center"/>
          </w:tcPr>
          <w:p w14:paraId="1E7E9231">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评 审 标 准</w:t>
            </w:r>
          </w:p>
        </w:tc>
      </w:tr>
      <w:tr w14:paraId="7C7A2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BF84E52">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资格性审查</w:t>
            </w:r>
          </w:p>
        </w:tc>
        <w:tc>
          <w:tcPr>
            <w:tcW w:w="6708" w:type="dxa"/>
            <w:noWrap w:val="0"/>
            <w:vAlign w:val="top"/>
          </w:tcPr>
          <w:p w14:paraId="72607663">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1</w:t>
            </w: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rPr>
              <w:t>提供</w:t>
            </w:r>
            <w:r>
              <w:rPr>
                <w:rFonts w:hint="eastAsia" w:ascii="仿宋" w:hAnsi="仿宋" w:eastAsia="仿宋" w:cs="仿宋"/>
                <w:b w:val="0"/>
                <w:bCs w:val="0"/>
                <w:color w:val="auto"/>
                <w:sz w:val="22"/>
                <w:szCs w:val="22"/>
                <w:lang w:val="en-US" w:eastAsia="zh-CN"/>
              </w:rPr>
              <w:t>具有社会统一代码的《</w:t>
            </w:r>
            <w:r>
              <w:rPr>
                <w:rFonts w:hint="eastAsia" w:ascii="仿宋" w:hAnsi="仿宋" w:eastAsia="仿宋" w:cs="仿宋"/>
                <w:b w:val="0"/>
                <w:bCs w:val="0"/>
                <w:color w:val="auto"/>
                <w:sz w:val="22"/>
                <w:szCs w:val="22"/>
              </w:rPr>
              <w:t>企业营业执照</w:t>
            </w:r>
            <w:r>
              <w:rPr>
                <w:rFonts w:hint="eastAsia" w:ascii="仿宋" w:hAnsi="仿宋" w:eastAsia="仿宋" w:cs="仿宋"/>
                <w:b w:val="0"/>
                <w:bCs w:val="0"/>
                <w:color w:val="auto"/>
                <w:sz w:val="22"/>
                <w:szCs w:val="22"/>
                <w:lang w:eastAsia="zh-CN"/>
              </w:rPr>
              <w:t>》、废电池回收资质；</w:t>
            </w:r>
          </w:p>
          <w:p w14:paraId="0A85FF1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供应商自身具有有效的《危险废物经营许可证》，或提供与有资质单位签订的回收/处置协议及对方资质证书。</w:t>
            </w:r>
          </w:p>
          <w:p w14:paraId="6B2C651D">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rPr>
              <w:t>（2）提供企业法定代表人身份证</w:t>
            </w:r>
            <w:r>
              <w:rPr>
                <w:rFonts w:hint="eastAsia" w:ascii="仿宋" w:hAnsi="仿宋" w:eastAsia="仿宋" w:cs="仿宋"/>
                <w:b w:val="0"/>
                <w:bCs w:val="0"/>
                <w:color w:val="auto"/>
                <w:sz w:val="22"/>
                <w:szCs w:val="22"/>
                <w:lang w:eastAsia="zh-CN"/>
              </w:rPr>
              <w:t>；</w:t>
            </w:r>
          </w:p>
          <w:p w14:paraId="727A82DC">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3</w:t>
            </w:r>
            <w:r>
              <w:rPr>
                <w:rFonts w:hint="eastAsia" w:ascii="仿宋" w:hAnsi="仿宋" w:eastAsia="仿宋" w:cs="仿宋"/>
                <w:b w:val="0"/>
                <w:bCs w:val="0"/>
                <w:color w:val="auto"/>
                <w:sz w:val="22"/>
                <w:szCs w:val="22"/>
              </w:rPr>
              <w:t>）</w:t>
            </w:r>
            <w:r>
              <w:rPr>
                <w:rFonts w:hint="eastAsia" w:ascii="仿宋" w:hAnsi="仿宋" w:eastAsia="仿宋" w:cs="仿宋"/>
                <w:b w:val="0"/>
                <w:bCs w:val="0"/>
                <w:color w:val="auto"/>
                <w:sz w:val="22"/>
                <w:szCs w:val="22"/>
                <w:lang w:val="en-US" w:eastAsia="zh-CN"/>
              </w:rPr>
              <w:t>具有良好的商业信誉和健全的财务会计制度（新成立公司须作出承诺函）；</w:t>
            </w:r>
          </w:p>
          <w:p w14:paraId="5FB7439A">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（4）有依法缴纳税收和社会保障资金的良好记录（新成立公司须作出承诺函）；</w:t>
            </w:r>
          </w:p>
          <w:p w14:paraId="73C052C9">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sz w:val="22"/>
                <w:szCs w:val="22"/>
                <w:lang w:val="en-US" w:eastAsia="zh-CN" w:bidi="ar-SA"/>
              </w:rPr>
            </w:pPr>
            <w:r>
              <w:rPr>
                <w:rFonts w:hint="default" w:ascii="仿宋" w:hAnsi="仿宋" w:eastAsia="仿宋" w:cs="仿宋"/>
                <w:b w:val="0"/>
                <w:bCs w:val="0"/>
                <w:color w:val="auto"/>
                <w:sz w:val="22"/>
                <w:szCs w:val="22"/>
                <w:lang w:val="en-US" w:eastAsia="zh-CN"/>
              </w:rPr>
              <w:t>（5）</w:t>
            </w:r>
            <w:r>
              <w:rPr>
                <w:rFonts w:hint="eastAsia" w:ascii="仿宋" w:hAnsi="仿宋" w:eastAsia="仿宋" w:cs="仿宋"/>
                <w:b w:val="0"/>
                <w:bCs w:val="0"/>
                <w:color w:val="auto"/>
                <w:sz w:val="22"/>
                <w:szCs w:val="22"/>
                <w:lang w:eastAsia="zh-CN"/>
              </w:rPr>
              <w:t>提供202</w:t>
            </w:r>
            <w:r>
              <w:rPr>
                <w:rFonts w:hint="eastAsia" w:ascii="仿宋" w:hAnsi="仿宋" w:eastAsia="仿宋" w:cs="仿宋"/>
                <w:b w:val="0"/>
                <w:bCs w:val="0"/>
                <w:color w:val="auto"/>
                <w:sz w:val="22"/>
                <w:szCs w:val="22"/>
                <w:lang w:val="en-US" w:eastAsia="zh-CN"/>
              </w:rPr>
              <w:t>6</w:t>
            </w:r>
            <w:r>
              <w:rPr>
                <w:rFonts w:hint="eastAsia" w:ascii="仿宋" w:hAnsi="仿宋" w:eastAsia="仿宋" w:cs="仿宋"/>
                <w:b w:val="0"/>
                <w:bCs w:val="0"/>
                <w:color w:val="auto"/>
                <w:sz w:val="22"/>
                <w:szCs w:val="22"/>
                <w:lang w:eastAsia="zh-CN"/>
              </w:rPr>
              <w:t>年任意1个月依法缴纳社会保障资金的凭据或专用收据或社会保障资金缴纳清单或其他有效证明材料。</w:t>
            </w:r>
          </w:p>
        </w:tc>
      </w:tr>
      <w:tr w14:paraId="53307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37688A20">
            <w:pPr>
              <w:spacing w:line="360" w:lineRule="auto"/>
              <w:jc w:val="center"/>
              <w:rPr>
                <w:rFonts w:hint="eastAsia" w:ascii="仿宋" w:hAnsi="仿宋" w:eastAsia="仿宋" w:cs="仿宋"/>
                <w:b w:val="0"/>
                <w:bCs w:val="0"/>
                <w:color w:val="auto"/>
                <w:sz w:val="22"/>
                <w:szCs w:val="22"/>
              </w:rPr>
            </w:pPr>
            <w:r>
              <w:rPr>
                <w:rFonts w:hint="eastAsia" w:ascii="仿宋" w:hAnsi="仿宋" w:eastAsia="仿宋" w:cs="仿宋"/>
                <w:b w:val="0"/>
                <w:bCs w:val="0"/>
                <w:color w:val="auto"/>
                <w:sz w:val="22"/>
                <w:szCs w:val="22"/>
              </w:rPr>
              <w:t>符合性审查</w:t>
            </w:r>
          </w:p>
        </w:tc>
        <w:tc>
          <w:tcPr>
            <w:tcW w:w="6708" w:type="dxa"/>
            <w:noWrap w:val="0"/>
            <w:vAlign w:val="top"/>
          </w:tcPr>
          <w:p w14:paraId="2487EABB">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（1）响应文件按要求签字、盖章；</w:t>
            </w:r>
          </w:p>
          <w:p w14:paraId="491666E0">
            <w:pPr>
              <w:keepNext w:val="0"/>
              <w:keepLines w:val="0"/>
              <w:pageBreakBefore w:val="0"/>
              <w:widowControl w:val="0"/>
              <w:kinsoku/>
              <w:wordWrap/>
              <w:overflowPunct/>
              <w:topLinePunct w:val="0"/>
              <w:autoSpaceDE/>
              <w:autoSpaceDN/>
              <w:bidi w:val="0"/>
              <w:adjustRightInd/>
              <w:snapToGrid/>
              <w:spacing w:line="360" w:lineRule="auto"/>
              <w:ind w:firstLine="440" w:firstLineChars="200"/>
              <w:jc w:val="left"/>
              <w:textAlignment w:val="auto"/>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eastAsia="zh-CN"/>
              </w:rPr>
              <w:t>（</w:t>
            </w:r>
            <w:r>
              <w:rPr>
                <w:rFonts w:hint="eastAsia" w:ascii="仿宋" w:hAnsi="仿宋" w:eastAsia="仿宋" w:cs="仿宋"/>
                <w:b w:val="0"/>
                <w:bCs w:val="0"/>
                <w:color w:val="auto"/>
                <w:sz w:val="22"/>
                <w:szCs w:val="22"/>
                <w:lang w:val="en-US" w:eastAsia="zh-CN"/>
              </w:rPr>
              <w:t>2）</w:t>
            </w:r>
            <w:r>
              <w:rPr>
                <w:rFonts w:hint="eastAsia" w:ascii="仿宋" w:hAnsi="仿宋" w:eastAsia="仿宋" w:cs="仿宋"/>
                <w:b w:val="0"/>
                <w:bCs w:val="0"/>
                <w:color w:val="auto"/>
                <w:sz w:val="22"/>
                <w:szCs w:val="22"/>
                <w:lang w:eastAsia="zh-CN"/>
              </w:rPr>
              <w:t>报价未超过本次项目预算。</w:t>
            </w:r>
          </w:p>
        </w:tc>
      </w:tr>
      <w:tr w14:paraId="5EECC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58" w:type="dxa"/>
            <w:gridSpan w:val="2"/>
            <w:noWrap w:val="0"/>
            <w:vAlign w:val="center"/>
          </w:tcPr>
          <w:p w14:paraId="596AB704">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分值构成</w:t>
            </w:r>
          </w:p>
          <w:p w14:paraId="547F4B69">
            <w:pPr>
              <w:spacing w:line="360" w:lineRule="auto"/>
              <w:jc w:val="center"/>
              <w:rPr>
                <w:rFonts w:hint="eastAsia" w:ascii="仿宋" w:hAnsi="仿宋" w:eastAsia="仿宋" w:cs="仿宋"/>
                <w:b w:val="0"/>
                <w:bCs w:val="0"/>
                <w:color w:val="auto"/>
                <w:sz w:val="22"/>
                <w:szCs w:val="22"/>
                <w:lang w:eastAsia="zh-CN"/>
              </w:rPr>
            </w:pPr>
            <w:r>
              <w:rPr>
                <w:rFonts w:hint="eastAsia" w:ascii="仿宋" w:hAnsi="仿宋" w:eastAsia="仿宋" w:cs="仿宋"/>
                <w:b w:val="0"/>
                <w:bCs w:val="0"/>
                <w:color w:val="auto"/>
                <w:sz w:val="22"/>
                <w:szCs w:val="22"/>
                <w:lang w:eastAsia="zh-CN"/>
              </w:rPr>
              <w:t>（满分</w:t>
            </w:r>
            <w:r>
              <w:rPr>
                <w:rFonts w:hint="eastAsia" w:ascii="仿宋" w:hAnsi="仿宋" w:eastAsia="仿宋" w:cs="仿宋"/>
                <w:b w:val="0"/>
                <w:bCs w:val="0"/>
                <w:color w:val="auto"/>
                <w:sz w:val="22"/>
                <w:szCs w:val="22"/>
                <w:lang w:val="en-US" w:eastAsia="zh-CN"/>
              </w:rPr>
              <w:t>100分</w:t>
            </w:r>
            <w:r>
              <w:rPr>
                <w:rFonts w:hint="eastAsia" w:ascii="仿宋" w:hAnsi="仿宋" w:eastAsia="仿宋" w:cs="仿宋"/>
                <w:b w:val="0"/>
                <w:bCs w:val="0"/>
                <w:color w:val="auto"/>
                <w:sz w:val="22"/>
                <w:szCs w:val="22"/>
                <w:lang w:eastAsia="zh-CN"/>
              </w:rPr>
              <w:t>）</w:t>
            </w:r>
          </w:p>
        </w:tc>
        <w:tc>
          <w:tcPr>
            <w:tcW w:w="6708" w:type="dxa"/>
            <w:noWrap w:val="0"/>
            <w:vAlign w:val="top"/>
          </w:tcPr>
          <w:p w14:paraId="48A9DD7C">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价格</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30</w:t>
            </w:r>
            <w:r>
              <w:rPr>
                <w:rFonts w:hint="eastAsia" w:ascii="仿宋" w:hAnsi="仿宋" w:eastAsia="仿宋" w:cs="仿宋"/>
                <w:color w:val="auto"/>
                <w:sz w:val="22"/>
                <w:szCs w:val="22"/>
                <w:highlight w:val="none"/>
              </w:rPr>
              <w:t>分。</w:t>
            </w:r>
          </w:p>
          <w:p w14:paraId="052443D8">
            <w:pPr>
              <w:keepNext w:val="0"/>
              <w:keepLines w:val="0"/>
              <w:pageBreakBefore w:val="0"/>
              <w:kinsoku/>
              <w:overflowPunct/>
              <w:topLinePunct w:val="0"/>
              <w:autoSpaceDE/>
              <w:autoSpaceDN/>
              <w:bidi w:val="0"/>
              <w:adjustRightInd/>
              <w:snapToGrid/>
              <w:spacing w:line="340" w:lineRule="exact"/>
              <w:textAlignment w:val="auto"/>
              <w:rPr>
                <w:rFonts w:ascii="仿宋" w:hAnsi="仿宋" w:eastAsia="仿宋" w:cs="仿宋"/>
                <w:color w:val="auto"/>
                <w:sz w:val="22"/>
                <w:szCs w:val="22"/>
                <w:highlight w:val="none"/>
              </w:rPr>
            </w:pPr>
            <w:r>
              <w:rPr>
                <w:rFonts w:hint="eastAsia" w:ascii="仿宋" w:hAnsi="仿宋" w:eastAsia="仿宋" w:cs="仿宋"/>
                <w:color w:val="auto"/>
                <w:sz w:val="22"/>
                <w:szCs w:val="22"/>
                <w:highlight w:val="none"/>
                <w:lang w:eastAsia="zh-CN"/>
              </w:rPr>
              <w:t>技术</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65</w:t>
            </w:r>
            <w:r>
              <w:rPr>
                <w:rFonts w:hint="eastAsia" w:ascii="仿宋" w:hAnsi="仿宋" w:eastAsia="仿宋" w:cs="仿宋"/>
                <w:color w:val="auto"/>
                <w:sz w:val="22"/>
                <w:szCs w:val="22"/>
                <w:highlight w:val="none"/>
              </w:rPr>
              <w:t>分。</w:t>
            </w:r>
          </w:p>
          <w:p w14:paraId="39A1BFBE">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仿宋" w:hAnsi="仿宋" w:eastAsia="仿宋" w:cs="仿宋"/>
                <w:b w:val="0"/>
                <w:bCs w:val="0"/>
                <w:color w:val="auto"/>
                <w:sz w:val="22"/>
                <w:szCs w:val="22"/>
                <w:lang w:eastAsia="zh-CN"/>
              </w:rPr>
            </w:pPr>
            <w:r>
              <w:rPr>
                <w:rFonts w:hint="eastAsia" w:ascii="仿宋" w:hAnsi="仿宋" w:eastAsia="仿宋" w:cs="仿宋"/>
                <w:color w:val="auto"/>
                <w:sz w:val="22"/>
                <w:szCs w:val="22"/>
                <w:highlight w:val="none"/>
                <w:lang w:eastAsia="zh-CN"/>
              </w:rPr>
              <w:t>商务</w:t>
            </w:r>
            <w:r>
              <w:rPr>
                <w:rFonts w:hint="eastAsia" w:ascii="仿宋" w:hAnsi="仿宋" w:eastAsia="仿宋" w:cs="仿宋"/>
                <w:color w:val="auto"/>
                <w:sz w:val="22"/>
                <w:szCs w:val="22"/>
                <w:highlight w:val="none"/>
              </w:rPr>
              <w:t>部分：</w:t>
            </w:r>
            <w:r>
              <w:rPr>
                <w:rFonts w:hint="eastAsia" w:ascii="仿宋" w:hAnsi="仿宋" w:eastAsia="仿宋" w:cs="仿宋"/>
                <w:color w:val="auto"/>
                <w:sz w:val="22"/>
                <w:szCs w:val="22"/>
                <w:highlight w:val="none"/>
                <w:lang w:val="en-US" w:eastAsia="zh-CN"/>
              </w:rPr>
              <w:t>5</w:t>
            </w:r>
            <w:r>
              <w:rPr>
                <w:rFonts w:hint="eastAsia" w:ascii="仿宋" w:hAnsi="仿宋" w:eastAsia="仿宋" w:cs="仿宋"/>
                <w:color w:val="auto"/>
                <w:sz w:val="22"/>
                <w:szCs w:val="22"/>
                <w:highlight w:val="none"/>
              </w:rPr>
              <w:t>分。</w:t>
            </w:r>
          </w:p>
        </w:tc>
      </w:tr>
      <w:tr w14:paraId="18B77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restart"/>
            <w:noWrap w:val="0"/>
            <w:vAlign w:val="center"/>
          </w:tcPr>
          <w:p w14:paraId="0D103A2A">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评分标准</w:t>
            </w:r>
          </w:p>
        </w:tc>
        <w:tc>
          <w:tcPr>
            <w:tcW w:w="1152" w:type="dxa"/>
            <w:noWrap w:val="0"/>
            <w:vAlign w:val="center"/>
          </w:tcPr>
          <w:p w14:paraId="0598633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价格部分F1（30分）</w:t>
            </w:r>
          </w:p>
        </w:tc>
        <w:tc>
          <w:tcPr>
            <w:tcW w:w="6708" w:type="dxa"/>
            <w:noWrap w:val="0"/>
            <w:vAlign w:val="top"/>
          </w:tcPr>
          <w:p w14:paraId="3DC7C070">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F1=报价得分按照低价优先法计算，即满足响应文件要求且投标价格最低的有效投标报价为评标基准价；</w:t>
            </w:r>
          </w:p>
          <w:p w14:paraId="2DEFC3DD">
            <w:pPr>
              <w:spacing w:line="360" w:lineRule="auto"/>
              <w:jc w:val="left"/>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报价得分=（评标基准价／报价）×30</w:t>
            </w:r>
          </w:p>
        </w:tc>
      </w:tr>
      <w:tr w14:paraId="01833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vMerge w:val="continue"/>
            <w:noWrap w:val="0"/>
            <w:vAlign w:val="center"/>
          </w:tcPr>
          <w:p w14:paraId="6FDD478D">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0FCBF879">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技术部分F2（6</w:t>
            </w:r>
            <w:bookmarkStart w:id="6" w:name="_GoBack"/>
            <w:bookmarkEnd w:id="6"/>
            <w:r>
              <w:rPr>
                <w:rFonts w:hint="eastAsia" w:ascii="仿宋" w:hAnsi="仿宋" w:eastAsia="仿宋" w:cs="仿宋"/>
                <w:b w:val="0"/>
                <w:bCs w:val="0"/>
                <w:color w:val="auto"/>
                <w:sz w:val="22"/>
                <w:szCs w:val="22"/>
                <w:lang w:val="en-US" w:eastAsia="zh-CN"/>
              </w:rPr>
              <w:t>5分）</w:t>
            </w:r>
          </w:p>
        </w:tc>
        <w:tc>
          <w:tcPr>
            <w:tcW w:w="6708" w:type="dxa"/>
            <w:noWrap w:val="0"/>
            <w:vAlign w:val="center"/>
          </w:tcPr>
          <w:p w14:paraId="49FD1D5A">
            <w:pPr>
              <w:spacing w:line="360" w:lineRule="auto"/>
              <w:ind w:firstLine="440" w:firstLineChars="20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（1） 蓄电池技术参数响应（满分20分）：</w:t>
            </w:r>
          </w:p>
          <w:p w14:paraId="05DE8885">
            <w:pPr>
              <w:spacing w:line="360" w:lineRule="auto"/>
              <w:ind w:firstLine="440" w:firstLineChars="20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所投产品的设备基本参数、核心性能要求、阻燃性能要求进行打分，完全响应无负偏离为满分18分，存在负偏离项的，每负偏离一项扣6分，分数扣完为止；实质性优于采购需求（例：单节重量、设计寿命等），每项加1分，最多加2分。</w:t>
            </w:r>
          </w:p>
          <w:p w14:paraId="45CA0E8D">
            <w:pPr>
              <w:spacing w:line="360" w:lineRule="auto"/>
              <w:ind w:firstLine="440" w:firstLineChars="20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（2）UPS维修及更换服务方案（满分20分）</w:t>
            </w:r>
          </w:p>
          <w:p w14:paraId="2F62023E">
            <w:pPr>
              <w:spacing w:line="360" w:lineRule="auto"/>
              <w:ind w:firstLine="440" w:firstLineChars="200"/>
              <w:jc w:val="left"/>
              <w:rPr>
                <w:rFonts w:hint="default"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提供</w:t>
            </w:r>
            <w:r>
              <w:rPr>
                <w:rFonts w:hint="default" w:ascii="仿宋" w:hAnsi="仿宋" w:eastAsia="仿宋" w:cs="仿宋"/>
                <w:b w:val="0"/>
                <w:bCs w:val="0"/>
                <w:color w:val="auto"/>
                <w:sz w:val="22"/>
                <w:szCs w:val="22"/>
                <w:lang w:val="en-US" w:eastAsia="zh-CN"/>
              </w:rPr>
              <w:t>完整的故障诊断、维修、蓄电池更换、安装调试、充放电测试等方案。方案科学合理、内容详细、针对性强的，得</w:t>
            </w:r>
            <w:r>
              <w:rPr>
                <w:rFonts w:hint="eastAsia" w:ascii="仿宋" w:hAnsi="仿宋" w:eastAsia="仿宋" w:cs="仿宋"/>
                <w:b w:val="0"/>
                <w:bCs w:val="0"/>
                <w:color w:val="auto"/>
                <w:sz w:val="22"/>
                <w:szCs w:val="22"/>
                <w:lang w:val="en-US" w:eastAsia="zh-CN"/>
              </w:rPr>
              <w:t>15</w:t>
            </w:r>
            <w:r>
              <w:rPr>
                <w:rFonts w:hint="default" w:ascii="仿宋" w:hAnsi="仿宋" w:eastAsia="仿宋" w:cs="仿宋"/>
                <w:b w:val="0"/>
                <w:bCs w:val="0"/>
                <w:color w:val="auto"/>
                <w:sz w:val="22"/>
                <w:szCs w:val="22"/>
                <w:lang w:val="en-US" w:eastAsia="zh-CN"/>
              </w:rPr>
              <w:t>-</w:t>
            </w:r>
            <w:r>
              <w:rPr>
                <w:rFonts w:hint="eastAsia" w:ascii="仿宋" w:hAnsi="仿宋" w:eastAsia="仿宋" w:cs="仿宋"/>
                <w:b w:val="0"/>
                <w:bCs w:val="0"/>
                <w:color w:val="auto"/>
                <w:sz w:val="22"/>
                <w:szCs w:val="22"/>
                <w:lang w:val="en-US" w:eastAsia="zh-CN"/>
              </w:rPr>
              <w:t>20</w:t>
            </w:r>
            <w:r>
              <w:rPr>
                <w:rFonts w:hint="default" w:ascii="仿宋" w:hAnsi="仿宋" w:eastAsia="仿宋" w:cs="仿宋"/>
                <w:b w:val="0"/>
                <w:bCs w:val="0"/>
                <w:color w:val="auto"/>
                <w:sz w:val="22"/>
                <w:szCs w:val="22"/>
                <w:lang w:val="en-US" w:eastAsia="zh-CN"/>
              </w:rPr>
              <w:t>分；方案基本完整、可行的，得</w:t>
            </w:r>
            <w:r>
              <w:rPr>
                <w:rFonts w:hint="eastAsia" w:ascii="仿宋" w:hAnsi="仿宋" w:eastAsia="仿宋" w:cs="仿宋"/>
                <w:b w:val="0"/>
                <w:bCs w:val="0"/>
                <w:color w:val="auto"/>
                <w:sz w:val="22"/>
                <w:szCs w:val="22"/>
                <w:lang w:val="en-US" w:eastAsia="zh-CN"/>
              </w:rPr>
              <w:t>9-14</w:t>
            </w:r>
            <w:r>
              <w:rPr>
                <w:rFonts w:hint="default" w:ascii="仿宋" w:hAnsi="仿宋" w:eastAsia="仿宋" w:cs="仿宋"/>
                <w:b w:val="0"/>
                <w:bCs w:val="0"/>
                <w:color w:val="auto"/>
                <w:sz w:val="22"/>
                <w:szCs w:val="22"/>
                <w:lang w:val="en-US" w:eastAsia="zh-CN"/>
              </w:rPr>
              <w:t>分；方案简单、针对性一般的，得1-</w:t>
            </w:r>
            <w:r>
              <w:rPr>
                <w:rFonts w:hint="eastAsia" w:ascii="仿宋" w:hAnsi="仿宋" w:eastAsia="仿宋" w:cs="仿宋"/>
                <w:b w:val="0"/>
                <w:bCs w:val="0"/>
                <w:color w:val="auto"/>
                <w:sz w:val="22"/>
                <w:szCs w:val="22"/>
                <w:lang w:val="en-US" w:eastAsia="zh-CN"/>
              </w:rPr>
              <w:t>8</w:t>
            </w:r>
            <w:r>
              <w:rPr>
                <w:rFonts w:hint="default" w:ascii="仿宋" w:hAnsi="仿宋" w:eastAsia="仿宋" w:cs="仿宋"/>
                <w:b w:val="0"/>
                <w:bCs w:val="0"/>
                <w:color w:val="auto"/>
                <w:sz w:val="22"/>
                <w:szCs w:val="22"/>
                <w:lang w:val="en-US" w:eastAsia="zh-CN"/>
              </w:rPr>
              <w:t>分；无方案或方案明显不可行的，得0分。</w:t>
            </w:r>
          </w:p>
          <w:p w14:paraId="06CF3E3B">
            <w:pPr>
              <w:spacing w:line="360" w:lineRule="auto"/>
              <w:ind w:firstLine="440" w:firstLineChars="20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（3）旧电池回收及环保合规（满分10分）</w:t>
            </w:r>
          </w:p>
          <w:p w14:paraId="37B657A0">
            <w:pPr>
              <w:numPr>
                <w:ilvl w:val="0"/>
                <w:numId w:val="0"/>
              </w:numPr>
              <w:spacing w:line="360" w:lineRule="auto"/>
              <w:ind w:firstLine="440" w:firstLineChars="200"/>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对旧电池收集、贮存、运输、移交处置方案及危险废物转移联单承诺等合规性进行综合评分。自身具备危废经营许可证且方案完善的，得8-10分；委托有资质单位且方案合规的，得5-7分；方案存在缺项或合规性不足的，得0-4分。</w:t>
            </w:r>
          </w:p>
          <w:p w14:paraId="3BDB266A">
            <w:pPr>
              <w:numPr>
                <w:ilvl w:val="0"/>
                <w:numId w:val="1"/>
              </w:numPr>
              <w:spacing w:line="360" w:lineRule="auto"/>
              <w:ind w:firstLine="440" w:firstLineChars="20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质保及售后服务（满分15分）</w:t>
            </w:r>
          </w:p>
          <w:p w14:paraId="46C37C06">
            <w:pPr>
              <w:numPr>
                <w:ilvl w:val="0"/>
                <w:numId w:val="0"/>
              </w:numPr>
              <w:spacing w:line="360" w:lineRule="auto"/>
              <w:ind w:firstLine="440" w:firstLineChars="200"/>
              <w:jc w:val="left"/>
              <w:rPr>
                <w:rFonts w:hint="default" w:ascii="仿宋" w:hAnsi="仿宋" w:eastAsia="仿宋" w:cs="仿宋"/>
                <w:b w:val="0"/>
                <w:bCs w:val="0"/>
                <w:color w:val="auto"/>
                <w:sz w:val="22"/>
                <w:szCs w:val="22"/>
                <w:lang w:val="en-US" w:eastAsia="zh-CN"/>
              </w:rPr>
            </w:pPr>
            <w:r>
              <w:rPr>
                <w:rFonts w:hint="default" w:ascii="仿宋" w:hAnsi="仿宋" w:eastAsia="仿宋" w:cs="仿宋"/>
                <w:b w:val="0"/>
                <w:bCs w:val="0"/>
                <w:color w:val="auto"/>
                <w:sz w:val="22"/>
                <w:szCs w:val="22"/>
                <w:lang w:val="en-US" w:eastAsia="zh-CN"/>
              </w:rPr>
              <w:t>对质保期限、故障响应时间、定期巡检、备件支持、验收测试项目（外观、容量测试、内阻测试、带载测试等）等售后服务承诺进行综合评分。质保期超过1年、售后体系完善的，得</w:t>
            </w:r>
            <w:r>
              <w:rPr>
                <w:rFonts w:hint="eastAsia" w:ascii="仿宋" w:hAnsi="仿宋" w:eastAsia="仿宋" w:cs="仿宋"/>
                <w:b w:val="0"/>
                <w:bCs w:val="0"/>
                <w:color w:val="auto"/>
                <w:sz w:val="22"/>
                <w:szCs w:val="22"/>
                <w:lang w:val="en-US" w:eastAsia="zh-CN"/>
              </w:rPr>
              <w:t>11</w:t>
            </w:r>
            <w:r>
              <w:rPr>
                <w:rFonts w:hint="default" w:ascii="仿宋" w:hAnsi="仿宋" w:eastAsia="仿宋" w:cs="仿宋"/>
                <w:b w:val="0"/>
                <w:bCs w:val="0"/>
                <w:color w:val="auto"/>
                <w:sz w:val="22"/>
                <w:szCs w:val="22"/>
                <w:lang w:val="en-US" w:eastAsia="zh-CN"/>
              </w:rPr>
              <w:t>-</w:t>
            </w:r>
            <w:r>
              <w:rPr>
                <w:rFonts w:hint="eastAsia" w:ascii="仿宋" w:hAnsi="仿宋" w:eastAsia="仿宋" w:cs="仿宋"/>
                <w:b w:val="0"/>
                <w:bCs w:val="0"/>
                <w:color w:val="auto"/>
                <w:sz w:val="22"/>
                <w:szCs w:val="22"/>
                <w:lang w:val="en-US" w:eastAsia="zh-CN"/>
              </w:rPr>
              <w:t>15</w:t>
            </w:r>
            <w:r>
              <w:rPr>
                <w:rFonts w:hint="default" w:ascii="仿宋" w:hAnsi="仿宋" w:eastAsia="仿宋" w:cs="仿宋"/>
                <w:b w:val="0"/>
                <w:bCs w:val="0"/>
                <w:color w:val="auto"/>
                <w:sz w:val="22"/>
                <w:szCs w:val="22"/>
                <w:lang w:val="en-US" w:eastAsia="zh-CN"/>
              </w:rPr>
              <w:t>分；质保期满足1年、售后基本满足的，得</w:t>
            </w:r>
            <w:r>
              <w:rPr>
                <w:rFonts w:hint="eastAsia" w:ascii="仿宋" w:hAnsi="仿宋" w:eastAsia="仿宋" w:cs="仿宋"/>
                <w:b w:val="0"/>
                <w:bCs w:val="0"/>
                <w:color w:val="auto"/>
                <w:sz w:val="22"/>
                <w:szCs w:val="22"/>
                <w:lang w:val="en-US" w:eastAsia="zh-CN"/>
              </w:rPr>
              <w:t>6</w:t>
            </w:r>
            <w:r>
              <w:rPr>
                <w:rFonts w:hint="default" w:ascii="仿宋" w:hAnsi="仿宋" w:eastAsia="仿宋" w:cs="仿宋"/>
                <w:b w:val="0"/>
                <w:bCs w:val="0"/>
                <w:color w:val="auto"/>
                <w:sz w:val="22"/>
                <w:szCs w:val="22"/>
                <w:lang w:val="en-US" w:eastAsia="zh-CN"/>
              </w:rPr>
              <w:t>-</w:t>
            </w:r>
            <w:r>
              <w:rPr>
                <w:rFonts w:hint="eastAsia" w:ascii="仿宋" w:hAnsi="仿宋" w:eastAsia="仿宋" w:cs="仿宋"/>
                <w:b w:val="0"/>
                <w:bCs w:val="0"/>
                <w:color w:val="auto"/>
                <w:sz w:val="22"/>
                <w:szCs w:val="22"/>
                <w:lang w:val="en-US" w:eastAsia="zh-CN"/>
              </w:rPr>
              <w:t>10</w:t>
            </w:r>
            <w:r>
              <w:rPr>
                <w:rFonts w:hint="default" w:ascii="仿宋" w:hAnsi="仿宋" w:eastAsia="仿宋" w:cs="仿宋"/>
                <w:b w:val="0"/>
                <w:bCs w:val="0"/>
                <w:color w:val="auto"/>
                <w:sz w:val="22"/>
                <w:szCs w:val="22"/>
                <w:lang w:val="en-US" w:eastAsia="zh-CN"/>
              </w:rPr>
              <w:t>分；质保或售后存在明显不足的，得</w:t>
            </w:r>
            <w:r>
              <w:rPr>
                <w:rFonts w:hint="eastAsia" w:ascii="仿宋" w:hAnsi="仿宋" w:eastAsia="仿宋" w:cs="仿宋"/>
                <w:b w:val="0"/>
                <w:bCs w:val="0"/>
                <w:color w:val="auto"/>
                <w:sz w:val="22"/>
                <w:szCs w:val="22"/>
                <w:lang w:val="en-US" w:eastAsia="zh-CN"/>
              </w:rPr>
              <w:t>1</w:t>
            </w:r>
            <w:r>
              <w:rPr>
                <w:rFonts w:hint="default" w:ascii="仿宋" w:hAnsi="仿宋" w:eastAsia="仿宋" w:cs="仿宋"/>
                <w:b w:val="0"/>
                <w:bCs w:val="0"/>
                <w:color w:val="auto"/>
                <w:sz w:val="22"/>
                <w:szCs w:val="22"/>
                <w:lang w:val="en-US" w:eastAsia="zh-CN"/>
              </w:rPr>
              <w:t>-</w:t>
            </w:r>
            <w:r>
              <w:rPr>
                <w:rFonts w:hint="eastAsia" w:ascii="仿宋" w:hAnsi="仿宋" w:eastAsia="仿宋" w:cs="仿宋"/>
                <w:b w:val="0"/>
                <w:bCs w:val="0"/>
                <w:color w:val="auto"/>
                <w:sz w:val="22"/>
                <w:szCs w:val="22"/>
                <w:lang w:val="en-US" w:eastAsia="zh-CN"/>
              </w:rPr>
              <w:t>5</w:t>
            </w:r>
            <w:r>
              <w:rPr>
                <w:rFonts w:hint="default" w:ascii="仿宋" w:hAnsi="仿宋" w:eastAsia="仿宋" w:cs="仿宋"/>
                <w:b w:val="0"/>
                <w:bCs w:val="0"/>
                <w:color w:val="auto"/>
                <w:sz w:val="22"/>
                <w:szCs w:val="22"/>
                <w:lang w:val="en-US" w:eastAsia="zh-CN"/>
              </w:rPr>
              <w:t>分</w:t>
            </w:r>
            <w:r>
              <w:rPr>
                <w:rFonts w:hint="eastAsia" w:ascii="仿宋" w:hAnsi="仿宋" w:eastAsia="仿宋" w:cs="仿宋"/>
                <w:b w:val="0"/>
                <w:bCs w:val="0"/>
                <w:color w:val="auto"/>
                <w:sz w:val="22"/>
                <w:szCs w:val="22"/>
                <w:lang w:val="en-US" w:eastAsia="zh-CN"/>
              </w:rPr>
              <w:t>，</w:t>
            </w:r>
            <w:r>
              <w:rPr>
                <w:rFonts w:hint="default" w:ascii="仿宋" w:hAnsi="仿宋" w:eastAsia="仿宋" w:cs="仿宋"/>
                <w:b w:val="0"/>
                <w:bCs w:val="0"/>
                <w:color w:val="auto"/>
                <w:sz w:val="22"/>
                <w:szCs w:val="22"/>
                <w:lang w:val="en-US" w:eastAsia="zh-CN"/>
              </w:rPr>
              <w:t>无方案或方案明显不可行的，得0分。</w:t>
            </w:r>
          </w:p>
        </w:tc>
      </w:tr>
      <w:tr w14:paraId="1FB3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206" w:type="dxa"/>
            <w:noWrap w:val="0"/>
            <w:vAlign w:val="center"/>
          </w:tcPr>
          <w:p w14:paraId="5B4F2658">
            <w:pPr>
              <w:spacing w:line="360" w:lineRule="auto"/>
              <w:jc w:val="left"/>
              <w:rPr>
                <w:rFonts w:hint="eastAsia" w:ascii="仿宋" w:hAnsi="仿宋" w:eastAsia="仿宋" w:cs="仿宋"/>
                <w:b w:val="0"/>
                <w:bCs w:val="0"/>
                <w:color w:val="auto"/>
                <w:sz w:val="22"/>
                <w:szCs w:val="22"/>
                <w:lang w:val="en-US" w:eastAsia="zh-CN"/>
              </w:rPr>
            </w:pPr>
          </w:p>
        </w:tc>
        <w:tc>
          <w:tcPr>
            <w:tcW w:w="1152" w:type="dxa"/>
            <w:noWrap w:val="0"/>
            <w:vAlign w:val="center"/>
          </w:tcPr>
          <w:p w14:paraId="7708FB31">
            <w:pPr>
              <w:spacing w:line="360" w:lineRule="auto"/>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商务部分F3（5分）</w:t>
            </w:r>
          </w:p>
        </w:tc>
        <w:tc>
          <w:tcPr>
            <w:tcW w:w="6708" w:type="dxa"/>
            <w:noWrap w:val="0"/>
            <w:vAlign w:val="center"/>
          </w:tcPr>
          <w:p w14:paraId="28EB4480">
            <w:pPr>
              <w:spacing w:line="360" w:lineRule="auto"/>
              <w:ind w:firstLine="440" w:firstLineChars="20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类似项目业绩（满分5分）</w:t>
            </w:r>
          </w:p>
          <w:p w14:paraId="17DB3F23">
            <w:pPr>
              <w:spacing w:line="360" w:lineRule="auto"/>
              <w:ind w:firstLine="440" w:firstLineChars="200"/>
              <w:jc w:val="left"/>
              <w:rPr>
                <w:rFonts w:hint="eastAsia" w:ascii="仿宋" w:hAnsi="仿宋" w:eastAsia="仿宋" w:cs="仿宋"/>
                <w:b w:val="0"/>
                <w:bCs w:val="0"/>
                <w:color w:val="auto"/>
                <w:sz w:val="22"/>
                <w:szCs w:val="22"/>
                <w:lang w:val="en-US" w:eastAsia="zh-CN"/>
              </w:rPr>
            </w:pPr>
            <w:r>
              <w:rPr>
                <w:rFonts w:hint="eastAsia" w:ascii="仿宋" w:hAnsi="仿宋" w:eastAsia="仿宋" w:cs="仿宋"/>
                <w:b w:val="0"/>
                <w:bCs w:val="0"/>
                <w:color w:val="auto"/>
                <w:sz w:val="22"/>
                <w:szCs w:val="22"/>
                <w:lang w:val="en-US" w:eastAsia="zh-CN"/>
              </w:rPr>
              <w:t>供应商近三年（2023年7月至今）完成过类似项目业绩，每提供一项业绩得2.5分，本项满分5分。供应商须提供中标（成交）通知书或合同复印件并加盖公章方可计分，未提供证明材料的不得分。扫描件须清晰可辨，否则视为未提供。</w:t>
            </w:r>
          </w:p>
        </w:tc>
      </w:tr>
    </w:tbl>
    <w:p w14:paraId="558D8F1B">
      <w:pPr>
        <w:numPr>
          <w:ilvl w:val="0"/>
          <w:numId w:val="2"/>
        </w:numPr>
        <w:spacing w:line="240" w:lineRule="auto"/>
        <w:rPr>
          <w:rFonts w:hint="eastAsia" w:ascii="仿宋" w:hAnsi="仿宋" w:eastAsia="仿宋" w:cs="仿宋"/>
          <w:b/>
          <w:bCs/>
          <w:color w:val="auto"/>
          <w:sz w:val="22"/>
          <w:szCs w:val="22"/>
        </w:rPr>
      </w:pPr>
      <w:r>
        <w:rPr>
          <w:rFonts w:hint="eastAsia" w:ascii="仿宋" w:hAnsi="仿宋" w:eastAsia="仿宋" w:cs="仿宋"/>
          <w:b/>
          <w:bCs/>
          <w:color w:val="auto"/>
          <w:sz w:val="22"/>
          <w:szCs w:val="22"/>
        </w:rPr>
        <w:t>评分要求和统计分数原则</w:t>
      </w:r>
    </w:p>
    <w:p w14:paraId="4DDF2199">
      <w:pPr>
        <w:numPr>
          <w:ilvl w:val="0"/>
          <w:numId w:val="0"/>
        </w:numPr>
        <w:spacing w:line="240" w:lineRule="auto"/>
        <w:ind w:firstLine="440" w:firstLineChars="200"/>
        <w:rPr>
          <w:rFonts w:hint="eastAsia" w:ascii="仿宋" w:hAnsi="仿宋" w:eastAsia="仿宋" w:cs="仿宋"/>
          <w:color w:val="auto"/>
          <w:sz w:val="22"/>
          <w:szCs w:val="22"/>
          <w:lang w:eastAsia="zh-CN"/>
        </w:rPr>
      </w:pPr>
      <w:r>
        <w:rPr>
          <w:rFonts w:hint="eastAsia" w:ascii="仿宋" w:hAnsi="仿宋" w:eastAsia="仿宋" w:cs="仿宋"/>
          <w:color w:val="auto"/>
          <w:sz w:val="22"/>
          <w:szCs w:val="22"/>
        </w:rPr>
        <w:t>（1）</w:t>
      </w:r>
      <w:r>
        <w:rPr>
          <w:rFonts w:hint="eastAsia" w:ascii="仿宋" w:hAnsi="仿宋" w:eastAsia="仿宋" w:cs="仿宋"/>
          <w:color w:val="auto"/>
          <w:sz w:val="22"/>
          <w:szCs w:val="22"/>
          <w:lang w:eastAsia="zh-CN"/>
        </w:rPr>
        <w:t>商谈小组</w:t>
      </w:r>
      <w:r>
        <w:rPr>
          <w:rFonts w:hint="eastAsia" w:ascii="仿宋" w:hAnsi="仿宋" w:eastAsia="仿宋" w:cs="仿宋"/>
          <w:color w:val="auto"/>
          <w:sz w:val="22"/>
          <w:szCs w:val="22"/>
        </w:rPr>
        <w:t>对各</w:t>
      </w:r>
      <w:r>
        <w:rPr>
          <w:rFonts w:hint="eastAsia" w:ascii="仿宋" w:hAnsi="仿宋" w:eastAsia="仿宋" w:cs="仿宋"/>
          <w:color w:val="auto"/>
          <w:sz w:val="22"/>
          <w:szCs w:val="22"/>
          <w:lang w:eastAsia="zh-CN"/>
        </w:rPr>
        <w:t>供应商</w:t>
      </w:r>
      <w:r>
        <w:rPr>
          <w:rFonts w:hint="eastAsia" w:ascii="仿宋" w:hAnsi="仿宋" w:eastAsia="仿宋" w:cs="仿宋"/>
          <w:color w:val="auto"/>
          <w:sz w:val="22"/>
          <w:szCs w:val="22"/>
        </w:rPr>
        <w:t>的</w:t>
      </w:r>
      <w:r>
        <w:rPr>
          <w:rFonts w:hint="eastAsia" w:ascii="仿宋" w:hAnsi="仿宋" w:eastAsia="仿宋" w:cs="仿宋"/>
          <w:color w:val="auto"/>
          <w:sz w:val="22"/>
          <w:szCs w:val="22"/>
          <w:lang w:eastAsia="zh-CN"/>
        </w:rPr>
        <w:t>响应</w:t>
      </w:r>
      <w:r>
        <w:rPr>
          <w:rFonts w:hint="eastAsia" w:ascii="仿宋" w:hAnsi="仿宋" w:eastAsia="仿宋" w:cs="仿宋"/>
          <w:color w:val="auto"/>
          <w:sz w:val="22"/>
          <w:szCs w:val="22"/>
        </w:rPr>
        <w:t>文件进行评审，写出书面意见并</w:t>
      </w:r>
      <w:r>
        <w:rPr>
          <w:rFonts w:hint="eastAsia" w:ascii="仿宋" w:hAnsi="仿宋" w:eastAsia="仿宋" w:cs="仿宋"/>
          <w:color w:val="auto"/>
          <w:sz w:val="22"/>
          <w:szCs w:val="22"/>
          <w:lang w:eastAsia="zh-CN"/>
        </w:rPr>
        <w:t>进行评分；</w:t>
      </w:r>
    </w:p>
    <w:p w14:paraId="186546E1">
      <w:pPr>
        <w:spacing w:line="480" w:lineRule="exact"/>
        <w:ind w:firstLine="440" w:firstLineChars="200"/>
        <w:rPr>
          <w:rFonts w:hint="default"/>
          <w:lang w:val="en-US" w:eastAsia="zh-CN"/>
        </w:rPr>
      </w:pPr>
      <w:r>
        <w:rPr>
          <w:rFonts w:hint="eastAsia" w:ascii="仿宋" w:hAnsi="仿宋" w:eastAsia="仿宋" w:cs="仿宋"/>
          <w:color w:val="auto"/>
          <w:sz w:val="22"/>
          <w:szCs w:val="22"/>
        </w:rPr>
        <w:t>（2）统计分数原则：计算算术平均分值</w:t>
      </w:r>
      <w:r>
        <w:rPr>
          <w:rFonts w:hint="eastAsia" w:ascii="仿宋" w:hAnsi="仿宋" w:eastAsia="仿宋" w:cs="仿宋"/>
          <w:color w:val="auto"/>
          <w:sz w:val="22"/>
          <w:szCs w:val="22"/>
          <w:lang w:eastAsia="zh-CN"/>
        </w:rPr>
        <w:t>，作为供应商</w:t>
      </w:r>
      <w:r>
        <w:rPr>
          <w:rFonts w:hint="eastAsia" w:ascii="仿宋" w:hAnsi="仿宋" w:eastAsia="仿宋" w:cs="仿宋"/>
          <w:color w:val="auto"/>
          <w:sz w:val="22"/>
          <w:szCs w:val="22"/>
        </w:rPr>
        <w:t>的各部分得分（保留小数点后两位）。</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1" w:fontKey="{D767DBCF-453C-4C86-ACEA-1498D153C801}"/>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57D229"/>
    <w:multiLevelType w:val="singleLevel"/>
    <w:tmpl w:val="B457D229"/>
    <w:lvl w:ilvl="0" w:tentative="0">
      <w:start w:val="2"/>
      <w:numFmt w:val="chineseCounting"/>
      <w:suff w:val="nothing"/>
      <w:lvlText w:val="%1、"/>
      <w:lvlJc w:val="left"/>
      <w:rPr>
        <w:rFonts w:hint="eastAsia"/>
      </w:rPr>
    </w:lvl>
  </w:abstractNum>
  <w:abstractNum w:abstractNumId="1">
    <w:nsid w:val="1E953D3D"/>
    <w:multiLevelType w:val="singleLevel"/>
    <w:tmpl w:val="1E953D3D"/>
    <w:lvl w:ilvl="0" w:tentative="0">
      <w:start w:val="4"/>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MzZWFhM2M2NTVkYzMzYzBkYzBmYjhkMjI5MWM3MjEifQ=="/>
  </w:docVars>
  <w:rsids>
    <w:rsidRoot w:val="00000000"/>
    <w:rsid w:val="00313F69"/>
    <w:rsid w:val="00AB1812"/>
    <w:rsid w:val="01341807"/>
    <w:rsid w:val="022D1A18"/>
    <w:rsid w:val="02693A40"/>
    <w:rsid w:val="02931952"/>
    <w:rsid w:val="033A4820"/>
    <w:rsid w:val="04082AD7"/>
    <w:rsid w:val="04B86FD2"/>
    <w:rsid w:val="04CB5B55"/>
    <w:rsid w:val="06501FC4"/>
    <w:rsid w:val="06BF5C79"/>
    <w:rsid w:val="075025B0"/>
    <w:rsid w:val="076775B0"/>
    <w:rsid w:val="078222A7"/>
    <w:rsid w:val="08017F69"/>
    <w:rsid w:val="087813C1"/>
    <w:rsid w:val="09265ED9"/>
    <w:rsid w:val="098D41AA"/>
    <w:rsid w:val="09BA2AC6"/>
    <w:rsid w:val="0BB26044"/>
    <w:rsid w:val="0BBD34B1"/>
    <w:rsid w:val="0C201306"/>
    <w:rsid w:val="0C3A18B9"/>
    <w:rsid w:val="0DE85718"/>
    <w:rsid w:val="0E170190"/>
    <w:rsid w:val="0E811E04"/>
    <w:rsid w:val="0EB21951"/>
    <w:rsid w:val="0F91377B"/>
    <w:rsid w:val="0FB365B0"/>
    <w:rsid w:val="10332216"/>
    <w:rsid w:val="10362C68"/>
    <w:rsid w:val="11001706"/>
    <w:rsid w:val="1191661B"/>
    <w:rsid w:val="1250459A"/>
    <w:rsid w:val="12A702B4"/>
    <w:rsid w:val="14D013EF"/>
    <w:rsid w:val="15937232"/>
    <w:rsid w:val="15B829FB"/>
    <w:rsid w:val="16273291"/>
    <w:rsid w:val="16AA6239"/>
    <w:rsid w:val="16B74180"/>
    <w:rsid w:val="170E1A3A"/>
    <w:rsid w:val="17A96751"/>
    <w:rsid w:val="1917583F"/>
    <w:rsid w:val="19E716B5"/>
    <w:rsid w:val="1AD106A0"/>
    <w:rsid w:val="1B505038"/>
    <w:rsid w:val="1C827473"/>
    <w:rsid w:val="1CDF62F9"/>
    <w:rsid w:val="1D3F3F85"/>
    <w:rsid w:val="1D470A85"/>
    <w:rsid w:val="1D55133D"/>
    <w:rsid w:val="1E7601F6"/>
    <w:rsid w:val="1EE61E60"/>
    <w:rsid w:val="20854097"/>
    <w:rsid w:val="226C3544"/>
    <w:rsid w:val="23616034"/>
    <w:rsid w:val="23A45F21"/>
    <w:rsid w:val="243A2F7C"/>
    <w:rsid w:val="24DC4B4F"/>
    <w:rsid w:val="251E54C0"/>
    <w:rsid w:val="269C55D5"/>
    <w:rsid w:val="26CF4D42"/>
    <w:rsid w:val="26D23572"/>
    <w:rsid w:val="27764281"/>
    <w:rsid w:val="27C01C76"/>
    <w:rsid w:val="27DB1309"/>
    <w:rsid w:val="27F82CDF"/>
    <w:rsid w:val="28DA2248"/>
    <w:rsid w:val="29B0091D"/>
    <w:rsid w:val="29B667B7"/>
    <w:rsid w:val="2A0776C6"/>
    <w:rsid w:val="2C3A1B18"/>
    <w:rsid w:val="2C4464F3"/>
    <w:rsid w:val="2C5451BB"/>
    <w:rsid w:val="2CDB6DF8"/>
    <w:rsid w:val="2D5026F5"/>
    <w:rsid w:val="2E0D14F8"/>
    <w:rsid w:val="2EBA62D8"/>
    <w:rsid w:val="2ED52B51"/>
    <w:rsid w:val="2F1E3072"/>
    <w:rsid w:val="30560016"/>
    <w:rsid w:val="31097D0B"/>
    <w:rsid w:val="311A2112"/>
    <w:rsid w:val="32195D2C"/>
    <w:rsid w:val="32866EDC"/>
    <w:rsid w:val="33A07A40"/>
    <w:rsid w:val="33E36E9A"/>
    <w:rsid w:val="347C459C"/>
    <w:rsid w:val="34846B64"/>
    <w:rsid w:val="352C3B02"/>
    <w:rsid w:val="36056CF3"/>
    <w:rsid w:val="36AB3E1C"/>
    <w:rsid w:val="37D70900"/>
    <w:rsid w:val="382316B2"/>
    <w:rsid w:val="38286CC9"/>
    <w:rsid w:val="386F2B4A"/>
    <w:rsid w:val="38CB08B0"/>
    <w:rsid w:val="38DE52FB"/>
    <w:rsid w:val="39A14F85"/>
    <w:rsid w:val="39A22AAB"/>
    <w:rsid w:val="39CB3DB0"/>
    <w:rsid w:val="3A297A38"/>
    <w:rsid w:val="3A7D269A"/>
    <w:rsid w:val="3A804B9A"/>
    <w:rsid w:val="3ADE7216"/>
    <w:rsid w:val="3B9E6A19"/>
    <w:rsid w:val="3C504A40"/>
    <w:rsid w:val="3C644522"/>
    <w:rsid w:val="3D1B6DFC"/>
    <w:rsid w:val="3DF37171"/>
    <w:rsid w:val="3E0A0392"/>
    <w:rsid w:val="3E0B71A4"/>
    <w:rsid w:val="3E1B0554"/>
    <w:rsid w:val="3E977202"/>
    <w:rsid w:val="3EA11583"/>
    <w:rsid w:val="3EBA2645"/>
    <w:rsid w:val="3F2E2B8E"/>
    <w:rsid w:val="3F376FE5"/>
    <w:rsid w:val="3F67457A"/>
    <w:rsid w:val="3F776B48"/>
    <w:rsid w:val="40580367"/>
    <w:rsid w:val="40CF292B"/>
    <w:rsid w:val="40F77B80"/>
    <w:rsid w:val="419E58AE"/>
    <w:rsid w:val="42781A2C"/>
    <w:rsid w:val="429A4669"/>
    <w:rsid w:val="42D068DB"/>
    <w:rsid w:val="437002E0"/>
    <w:rsid w:val="43D146B8"/>
    <w:rsid w:val="44313282"/>
    <w:rsid w:val="4517434D"/>
    <w:rsid w:val="45DE2E69"/>
    <w:rsid w:val="46116FEE"/>
    <w:rsid w:val="472112DD"/>
    <w:rsid w:val="482D18DC"/>
    <w:rsid w:val="48604BF0"/>
    <w:rsid w:val="48D507A7"/>
    <w:rsid w:val="48DA400F"/>
    <w:rsid w:val="4963074A"/>
    <w:rsid w:val="49A60712"/>
    <w:rsid w:val="4A354F64"/>
    <w:rsid w:val="4A4821AE"/>
    <w:rsid w:val="4B0809E8"/>
    <w:rsid w:val="4C5359B3"/>
    <w:rsid w:val="4D1D452D"/>
    <w:rsid w:val="4D3E7B7A"/>
    <w:rsid w:val="4E0F475B"/>
    <w:rsid w:val="4E1C794E"/>
    <w:rsid w:val="4F676F3B"/>
    <w:rsid w:val="4F732AC8"/>
    <w:rsid w:val="4F8B7E11"/>
    <w:rsid w:val="4FA33383"/>
    <w:rsid w:val="4FCA5E3F"/>
    <w:rsid w:val="4FE439C5"/>
    <w:rsid w:val="5018702D"/>
    <w:rsid w:val="50306C0B"/>
    <w:rsid w:val="512A0C17"/>
    <w:rsid w:val="518024FB"/>
    <w:rsid w:val="525B20BC"/>
    <w:rsid w:val="526950A0"/>
    <w:rsid w:val="52940917"/>
    <w:rsid w:val="52E948CD"/>
    <w:rsid w:val="52F25D4B"/>
    <w:rsid w:val="54042259"/>
    <w:rsid w:val="54B10E12"/>
    <w:rsid w:val="55932642"/>
    <w:rsid w:val="55B60508"/>
    <w:rsid w:val="560F0DC8"/>
    <w:rsid w:val="56183E39"/>
    <w:rsid w:val="563D798B"/>
    <w:rsid w:val="56A41D02"/>
    <w:rsid w:val="56DE703B"/>
    <w:rsid w:val="56DF1DB6"/>
    <w:rsid w:val="57A162DF"/>
    <w:rsid w:val="580E2671"/>
    <w:rsid w:val="58AC780A"/>
    <w:rsid w:val="58D354A2"/>
    <w:rsid w:val="590E45F0"/>
    <w:rsid w:val="5A122803"/>
    <w:rsid w:val="5A7A7400"/>
    <w:rsid w:val="5A846733"/>
    <w:rsid w:val="5AA36965"/>
    <w:rsid w:val="5ACB1A0A"/>
    <w:rsid w:val="5C25405E"/>
    <w:rsid w:val="5CBA37D5"/>
    <w:rsid w:val="5D416546"/>
    <w:rsid w:val="5D7150BF"/>
    <w:rsid w:val="5DCE72BA"/>
    <w:rsid w:val="5E7E0175"/>
    <w:rsid w:val="5EA362A4"/>
    <w:rsid w:val="5F7F2DC3"/>
    <w:rsid w:val="5F8748DA"/>
    <w:rsid w:val="5FEA0810"/>
    <w:rsid w:val="607D5554"/>
    <w:rsid w:val="61DA03D4"/>
    <w:rsid w:val="634F67A3"/>
    <w:rsid w:val="63A97FAA"/>
    <w:rsid w:val="63E35397"/>
    <w:rsid w:val="64B51165"/>
    <w:rsid w:val="65206DF6"/>
    <w:rsid w:val="65CD3049"/>
    <w:rsid w:val="65F27086"/>
    <w:rsid w:val="66D460EA"/>
    <w:rsid w:val="675C781B"/>
    <w:rsid w:val="678464EC"/>
    <w:rsid w:val="685F49B3"/>
    <w:rsid w:val="6AAA4EEE"/>
    <w:rsid w:val="6AEC2660"/>
    <w:rsid w:val="6B8F10C1"/>
    <w:rsid w:val="6CD61EDA"/>
    <w:rsid w:val="6DAA1953"/>
    <w:rsid w:val="6DE81813"/>
    <w:rsid w:val="6E1868BC"/>
    <w:rsid w:val="6E76487D"/>
    <w:rsid w:val="6E9D5013"/>
    <w:rsid w:val="6EB23777"/>
    <w:rsid w:val="6EBF6895"/>
    <w:rsid w:val="6EEE10AB"/>
    <w:rsid w:val="6FE74523"/>
    <w:rsid w:val="70E143A6"/>
    <w:rsid w:val="70F21646"/>
    <w:rsid w:val="7198729D"/>
    <w:rsid w:val="73C0113A"/>
    <w:rsid w:val="740B6B46"/>
    <w:rsid w:val="750B746A"/>
    <w:rsid w:val="75AB0949"/>
    <w:rsid w:val="7699779A"/>
    <w:rsid w:val="79BD31CC"/>
    <w:rsid w:val="79E955B1"/>
    <w:rsid w:val="7A1F7224"/>
    <w:rsid w:val="7A3B6F3F"/>
    <w:rsid w:val="7A827AC1"/>
    <w:rsid w:val="7B1805FB"/>
    <w:rsid w:val="7B560B15"/>
    <w:rsid w:val="7BD858DD"/>
    <w:rsid w:val="7C7427B0"/>
    <w:rsid w:val="7CF404F4"/>
    <w:rsid w:val="7DD343E5"/>
    <w:rsid w:val="7DE0603D"/>
    <w:rsid w:val="7EC81B50"/>
    <w:rsid w:val="7ED22AB7"/>
    <w:rsid w:val="7F653D50"/>
    <w:rsid w:val="7FC95C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1"/>
      <w:szCs w:val="21"/>
      <w:lang w:val="en-US" w:eastAsia="zh-CN" w:bidi="ar-SA"/>
    </w:rPr>
  </w:style>
  <w:style w:type="paragraph" w:styleId="2">
    <w:name w:val="heading 2"/>
    <w:basedOn w:val="1"/>
    <w:next w:val="1"/>
    <w:unhideWhenUsed/>
    <w:qFormat/>
    <w:uiPriority w:val="0"/>
    <w:pPr>
      <w:keepNext/>
      <w:keepLines/>
      <w:spacing w:line="360" w:lineRule="auto"/>
      <w:jc w:val="center"/>
      <w:outlineLvl w:val="1"/>
    </w:pPr>
    <w:rPr>
      <w:rFonts w:ascii="Arial" w:hAnsi="Arial"/>
      <w:b/>
      <w:bCs/>
      <w:sz w:val="28"/>
      <w:szCs w:val="32"/>
    </w:rPr>
  </w:style>
  <w:style w:type="paragraph" w:styleId="3">
    <w:name w:val="heading 3"/>
    <w:basedOn w:val="1"/>
    <w:next w:val="1"/>
    <w:qFormat/>
    <w:uiPriority w:val="0"/>
    <w:pPr>
      <w:keepNext/>
      <w:keepLines/>
      <w:widowControl w:val="0"/>
      <w:spacing w:before="380" w:after="380" w:line="412" w:lineRule="auto"/>
      <w:jc w:val="center"/>
      <w:outlineLvl w:val="2"/>
    </w:pPr>
    <w:rPr>
      <w:b/>
      <w:bCs/>
      <w:sz w:val="28"/>
      <w:szCs w:val="32"/>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420" w:firstLineChars="200"/>
    </w:pPr>
  </w:style>
  <w:style w:type="paragraph" w:styleId="5">
    <w:name w:val="Body Text"/>
    <w:basedOn w:val="1"/>
    <w:qFormat/>
    <w:uiPriority w:val="99"/>
    <w:pPr>
      <w:spacing w:line="360" w:lineRule="auto"/>
    </w:pPr>
    <w:rPr>
      <w:kern w:val="2"/>
      <w:szCs w:val="24"/>
    </w:rPr>
  </w:style>
  <w:style w:type="paragraph" w:styleId="6">
    <w:name w:val="footer"/>
    <w:basedOn w:val="1"/>
    <w:unhideWhenUsed/>
    <w:qFormat/>
    <w:uiPriority w:val="99"/>
    <w:pPr>
      <w:tabs>
        <w:tab w:val="center" w:pos="4153"/>
        <w:tab w:val="right" w:pos="8306"/>
      </w:tabs>
      <w:snapToGrid w:val="0"/>
      <w:jc w:val="left"/>
    </w:pPr>
    <w:rPr>
      <w:sz w:val="18"/>
      <w:szCs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Strong"/>
    <w:qFormat/>
    <w:uiPriority w:val="0"/>
    <w:rPr>
      <w:b/>
    </w:rPr>
  </w:style>
  <w:style w:type="paragraph" w:customStyle="1" w:styleId="11">
    <w:name w:val="样式 样式 首行缩进:  2.57 字符 + 首行缩进:  2.57 字符"/>
    <w:basedOn w:val="1"/>
    <w:qFormat/>
    <w:uiPriority w:val="0"/>
    <w:pPr>
      <w:spacing w:line="360" w:lineRule="auto"/>
      <w:ind w:firstLine="771" w:firstLineChars="257"/>
    </w:pPr>
    <w:rPr>
      <w:rFonts w:eastAsia="仿宋" w:cs="宋体"/>
      <w:sz w:val="30"/>
      <w:szCs w:val="30"/>
    </w:rPr>
  </w:style>
  <w:style w:type="character" w:customStyle="1" w:styleId="12">
    <w:name w:val="font21"/>
    <w:basedOn w:val="9"/>
    <w:qFormat/>
    <w:uiPriority w:val="0"/>
    <w:rPr>
      <w:rFonts w:hint="eastAsia" w:ascii="宋体" w:hAnsi="宋体" w:eastAsia="宋体" w:cs="宋体"/>
      <w:b/>
      <w:bCs/>
      <w:color w:val="000000"/>
      <w:sz w:val="24"/>
      <w:szCs w:val="24"/>
      <w:u w:val="none"/>
    </w:rPr>
  </w:style>
  <w:style w:type="character" w:customStyle="1" w:styleId="13">
    <w:name w:val="font41"/>
    <w:basedOn w:val="9"/>
    <w:qFormat/>
    <w:uiPriority w:val="0"/>
    <w:rPr>
      <w:rFonts w:hint="eastAsia" w:ascii="宋体" w:hAnsi="宋体" w:eastAsia="宋体" w:cs="宋体"/>
      <w:b/>
      <w:bCs/>
      <w:color w:val="000000"/>
      <w:sz w:val="24"/>
      <w:szCs w:val="24"/>
      <w:u w:val="single"/>
    </w:rPr>
  </w:style>
  <w:style w:type="paragraph" w:customStyle="1" w:styleId="14">
    <w:name w:val="索引 11"/>
    <w:basedOn w:val="1"/>
    <w:next w:val="1"/>
    <w:qFormat/>
    <w:uiPriority w:val="0"/>
    <w:pPr>
      <w:spacing w:line="360" w:lineRule="auto"/>
    </w:pPr>
    <w:rPr>
      <w:rFonts w:ascii="仿宋_GB2312" w:eastAsia="仿宋_GB2312"/>
      <w:sz w:val="24"/>
      <w:szCs w:val="20"/>
    </w:rPr>
  </w:style>
  <w:style w:type="character" w:customStyle="1" w:styleId="15">
    <w:name w:val="font31"/>
    <w:basedOn w:val="9"/>
    <w:qFormat/>
    <w:uiPriority w:val="0"/>
    <w:rPr>
      <w:rFonts w:hint="eastAsia" w:ascii="宋体" w:hAnsi="宋体" w:eastAsia="宋体" w:cs="宋体"/>
      <w:b/>
      <w:bCs/>
      <w:color w:val="000000"/>
      <w:sz w:val="24"/>
      <w:szCs w:val="24"/>
      <w:u w:val="none"/>
    </w:rPr>
  </w:style>
  <w:style w:type="paragraph" w:customStyle="1" w:styleId="16">
    <w:name w:val="（标题二）"/>
    <w:basedOn w:val="2"/>
    <w:next w:val="1"/>
    <w:qFormat/>
    <w:uiPriority w:val="0"/>
    <w:pPr>
      <w:spacing w:before="100" w:beforeAutospacing="1" w:after="100" w:afterAutospacing="1"/>
      <w:ind w:left="1680" w:hanging="420"/>
    </w:pPr>
    <w:rPr>
      <w:b w:val="0"/>
      <w:bCs w:val="0"/>
      <w:sz w:val="36"/>
      <w:szCs w:val="36"/>
    </w:rPr>
  </w:style>
  <w:style w:type="paragraph" w:customStyle="1" w:styleId="17">
    <w:name w:val="表格文字"/>
    <w:basedOn w:val="1"/>
    <w:qFormat/>
    <w:uiPriority w:val="0"/>
    <w:pPr>
      <w:adjustRightInd w:val="0"/>
      <w:spacing w:line="360" w:lineRule="auto"/>
      <w:ind w:firstLine="200" w:firstLineChars="200"/>
      <w:jc w:val="left"/>
      <w:textAlignment w:val="baseline"/>
    </w:pPr>
    <w:rPr>
      <w:rFonts w:ascii="Arial" w:hAnsi="Arial" w:cs="Arial"/>
      <w:sz w:val="24"/>
      <w:szCs w:val="24"/>
    </w:rPr>
  </w:style>
  <w:style w:type="paragraph" w:customStyle="1" w:styleId="18">
    <w:name w:val="p0"/>
    <w:basedOn w:val="1"/>
    <w:qFormat/>
    <w:uiPriority w:val="0"/>
    <w:pPr>
      <w:widowControl/>
    </w:pPr>
    <w:rPr>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23d32619-12d6-4efd-bbba-74641443203e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35DE0301</paraID>
      <start>8</start>
      <end>9</end>
      <status>unmodified</status>
      <modifiedWord/>
      <trackRevisions>false</trackRevisions>
    </reviewItem>
    <reviewItem>
      <errorID>d3ec29ff-8ef7-43df-a167-7964d41b37a9</errorID>
      <errorWord>，</errorWord>
      <group>L1_Punc</group>
      <groupName>标点问题</groupName>
      <ability>L2_Punc_CN</ability>
      <abilityName>标点符号问题</abilityName>
      <candidateList>
        <item>。</item>
      </candidateList>
      <explain/>
      <paraID>35DE0301</paraID>
      <start>80</start>
      <end>81</end>
      <status>unmodified</status>
      <modifiedWord/>
      <trackRevisions>false</trackRevisions>
    </reviewItem>
    <reviewItem>
      <errorID>f85bbb39-cea0-41f8-989a-c402fdb55b4c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250810C1</paraID>
      <start>7</start>
      <end>8</end>
      <status>unmodified</status>
      <modifiedWord/>
      <trackRevisions>false</trackRevisions>
    </reviewItem>
    <reviewItem>
      <errorID>b2970ef3-a0f0-43c0-9c08-1014f63c8470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4850063F</paraID>
      <start>7</start>
      <end>8</end>
      <status>unmodified</status>
      <modifiedWord/>
      <trackRevisions>false</trackRevisions>
    </reviewItem>
    <reviewItem>
      <errorID>ae86c2aa-f453-4800-a4be-282fd5bae9b7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1CD53BFE</paraID>
      <start>8</start>
      <end>9</end>
      <status>unmodified</status>
      <modifiedWord/>
      <trackRevisions>false</trackRevisions>
    </reviewItem>
    <reviewItem>
      <errorID>a07aab5f-cf24-4054-8ffa-6f6aeac4a9b2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140415A0</paraID>
      <start>7</start>
      <end>8</end>
      <status>unmodified</status>
      <modifiedWord/>
      <trackRevisions>false</trackRevisions>
    </reviewItem>
    <reviewItem>
      <errorID>796d54af-a35f-41e5-98f0-be9726426000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5C6545B3</paraID>
      <start>7</start>
      <end>8</end>
      <status>unmodified</status>
      <modifiedWord/>
      <trackRevisions>false</trackRevisions>
    </reviewItem>
    <reviewItem>
      <errorID>252988d8-c582-4940-8fcb-354caa3368ce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7CCEE72F</paraID>
      <start>7</start>
      <end>8</end>
      <status>unmodified</status>
      <modifiedWord/>
      <trackRevisions>false</trackRevisions>
    </reviewItem>
    <reviewItem>
      <errorID>dea2d5ab-d71f-4ac5-8bcc-8a48290ba55e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38EC6A8B</paraID>
      <start>7</start>
      <end>8</end>
      <status>unmodified</status>
      <modifiedWord/>
      <trackRevisions>false</trackRevisions>
    </reviewItem>
    <reviewItem>
      <errorID>a1f53dc3-2ff9-4a3b-8341-84a0613a10cc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3B741557</paraID>
      <start>7</start>
      <end>8</end>
      <status>unmodified</status>
      <modifiedWord/>
      <trackRevisions>false</trackRevisions>
    </reviewItem>
    <reviewItem>
      <errorID>91a09d95-219c-42b4-b552-adbe43179ea2</errorID>
      <errorWord>31分</errorWord>
      <group>L1_Other</group>
      <groupName>其他问题</groupName>
      <ability>L2_Consistency</ability>
      <abilityName>一致性检查</abilityName>
      <candidateList>
        <item>21分</item>
      </candidateList>
      <explain>数字一致性错误，前文分值构成部分明确商务部分为21分，此处数字表述不一致</explain>
      <paraID>7708FB31</paraID>
      <start>7</start>
      <end>10</end>
      <status>unmodified</status>
      <modifiedWord/>
      <trackRevisions>false</trackRevisions>
    </reviewItem>
    <reviewItem>
      <errorID>766b3eaf-ec37-4b38-a3c9-9bdbd155ed3f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3C6B561B</paraID>
      <start>8</start>
      <end>9</end>
      <status>unmodified</status>
      <modifiedWord/>
      <trackRevisions>false</trackRevisions>
    </reviewItem>
    <reviewItem>
      <errorID>f6fe8650-598e-44a8-9d36-780cef9bd242</errorID>
      <errorWord>详实</errorWord>
      <group>L1_Word</group>
      <groupName>字词问题</groupName>
      <ability>L2_Typo</ability>
      <abilityName>字词错误</abilityName>
      <candidateList>
        <item>翔实</item>
      </candidateList>
      <explain/>
      <paraID>3C6B561B</paraID>
      <start>37</start>
      <end>39</end>
      <status>unmodified</status>
      <modifiedWord/>
      <trackRevisions>false</trackRevisions>
    </reviewItem>
    <reviewItem>
      <errorID>7cf0be6f-c635-4359-83ee-089063e30777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23FE9903</paraID>
      <start>7</start>
      <end>8</end>
      <status>unmodified</status>
      <modifiedWord/>
      <trackRevisions>false</trackRevisions>
    </reviewItem>
    <reviewItem>
      <errorID>99058ee3-ec84-4547-9fb7-7b3c33d5a136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7B04CB91</paraID>
      <start>7</start>
      <end>8</end>
      <status>unmodified</status>
      <modifiedWord/>
      <trackRevisions>false</trackRevisions>
    </reviewItem>
    <reviewItem>
      <errorID>27691455-47e5-40bc-b894-14bbe2ec3a88</errorID>
      <errorWord>为</errorWord>
      <group>L1_Grammar</group>
      <groupName>语法问题</groupName>
      <ability>L2_Grammar</ability>
      <abilityName>语法错误</abilityName>
      <candidateList>
        <item>，作为</item>
      </candidateList>
      <explain/>
      <paraID>186546E1</paraID>
      <start>18</start>
      <end>21</end>
      <status>modified</status>
      <modifiedWord>，作为</modifiedWord>
      <trackRevisions>false</trackRevisions>
    </reviewItem>
  </reviewItems>
  <config/>
</contractReview>
</file>

<file path=customXml/itemProps1.xml><?xml version="1.0" encoding="utf-8"?>
<ds:datastoreItem xmlns:ds="http://schemas.openxmlformats.org/officeDocument/2006/customXml" ds:itemID="{44d47d3e-38e6-44c1-9eec-0e6fd010d9e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1299</Words>
  <Characters>1362</Characters>
  <Lines>0</Lines>
  <Paragraphs>0</Paragraphs>
  <TotalTime>3</TotalTime>
  <ScaleCrop>false</ScaleCrop>
  <LinksUpToDate>false</LinksUpToDate>
  <CharactersWithSpaces>1366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WPS_1554988788</cp:lastModifiedBy>
  <cp:lastPrinted>2024-06-11T03:26:00Z</cp:lastPrinted>
  <dcterms:modified xsi:type="dcterms:W3CDTF">2026-09-08T01:11:25Z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78676379F49E4E15880898FFFDA3F693_12</vt:lpwstr>
  </property>
  <property fmtid="{D5CDD505-2E9C-101B-9397-08002B2CF9AE}" pid="4" name="KSOTemplateDocerSaveRecord">
    <vt:lpwstr>eyJoZGlkIjoiM2MzZWFhM2M2NTVkYzMzYzBkYzBmYjhkMjI5MWM3MjEiLCJ1c2VySWQiOiI1MjM4MzE1NjEifQ==</vt:lpwstr>
  </property>
</Properties>
</file>