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0D75A">
      <w:pPr>
        <w:pStyle w:val="5"/>
        <w:numPr>
          <w:ilvl w:val="0"/>
          <w:numId w:val="0"/>
        </w:numPr>
        <w:spacing w:line="360" w:lineRule="auto"/>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SA"/>
        </w:rPr>
        <w:t>附件：</w:t>
      </w:r>
      <w:bookmarkStart w:id="0" w:name="_Toc28730"/>
    </w:p>
    <w:p w14:paraId="4C21A8BB">
      <w:pPr>
        <w:pStyle w:val="5"/>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bookmarkEnd w:id="0"/>
    </w:p>
    <w:p w14:paraId="0B44E938">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1" w:name="_Toc236497060"/>
      <w:bookmarkEnd w:id="1"/>
      <w:bookmarkStart w:id="2" w:name="_Toc236130510"/>
      <w:bookmarkEnd w:id="2"/>
      <w:bookmarkStart w:id="3" w:name="_Toc236497134"/>
      <w:bookmarkEnd w:id="3"/>
      <w:bookmarkStart w:id="4" w:name="_Toc236130671"/>
      <w:bookmarkEnd w:id="4"/>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的综合得分，统计分数原则为计算算术平均分值为</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w:t>
      </w:r>
      <w:r>
        <w:rPr>
          <w:rFonts w:hint="eastAsia" w:ascii="仿宋" w:hAnsi="仿宋" w:eastAsia="仿宋" w:cs="仿宋"/>
          <w:color w:val="auto"/>
          <w:sz w:val="22"/>
          <w:szCs w:val="22"/>
          <w:lang w:eastAsia="zh-CN"/>
        </w:rPr>
        <w:t>，</w:t>
      </w:r>
      <w:r>
        <w:rPr>
          <w:rFonts w:hint="eastAsia" w:ascii="仿宋" w:hAnsi="仿宋" w:eastAsia="仿宋" w:cs="仿宋"/>
          <w:color w:val="auto"/>
          <w:sz w:val="22"/>
          <w:szCs w:val="22"/>
        </w:rPr>
        <w:t>按得分由高到低推荐中标候选人排序。</w:t>
      </w:r>
    </w:p>
    <w:p w14:paraId="6D641104">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8"/>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5" w:name="_Toc236130511"/>
            <w:r>
              <w:rPr>
                <w:rFonts w:hint="eastAsia" w:ascii="仿宋" w:hAnsi="仿宋" w:eastAsia="仿宋" w:cs="仿宋"/>
                <w:b w:val="0"/>
                <w:bCs w:val="0"/>
                <w:color w:val="auto"/>
                <w:sz w:val="22"/>
                <w:szCs w:val="22"/>
              </w:rPr>
              <w:t>评审项目</w:t>
            </w:r>
            <w:bookmarkEnd w:id="5"/>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4"/>
                <w:szCs w:val="24"/>
              </w:rPr>
              <w:t>（</w:t>
            </w:r>
            <w:r>
              <w:rPr>
                <w:rFonts w:hint="eastAsia" w:ascii="仿宋" w:hAnsi="仿宋" w:eastAsia="仿宋" w:cs="仿宋"/>
                <w:b w:val="0"/>
                <w:bCs w:val="0"/>
                <w:color w:val="auto"/>
                <w:sz w:val="22"/>
                <w:szCs w:val="22"/>
              </w:rPr>
              <w:t>1）提供</w:t>
            </w:r>
            <w:r>
              <w:rPr>
                <w:rFonts w:hint="eastAsia" w:ascii="仿宋" w:hAnsi="仿宋" w:eastAsia="仿宋" w:cs="仿宋"/>
                <w:b w:val="0"/>
                <w:bCs w:val="0"/>
                <w:color w:val="auto"/>
                <w:sz w:val="22"/>
                <w:szCs w:val="22"/>
                <w:lang w:val="en-US" w:eastAsia="zh-CN"/>
              </w:rPr>
              <w:t>具有社会统一代码的《</w:t>
            </w:r>
            <w:r>
              <w:rPr>
                <w:rFonts w:hint="eastAsia" w:ascii="仿宋" w:hAnsi="仿宋" w:eastAsia="仿宋" w:cs="仿宋"/>
                <w:b w:val="0"/>
                <w:bCs w:val="0"/>
                <w:color w:val="auto"/>
                <w:sz w:val="22"/>
                <w:szCs w:val="22"/>
              </w:rPr>
              <w:t>企业营业执照</w:t>
            </w: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及相关资质</w:t>
            </w:r>
            <w:r>
              <w:rPr>
                <w:rFonts w:hint="eastAsia" w:ascii="仿宋" w:hAnsi="仿宋" w:eastAsia="仿宋" w:cs="仿宋"/>
                <w:b w:val="0"/>
                <w:bCs w:val="0"/>
                <w:color w:val="auto"/>
                <w:sz w:val="22"/>
                <w:szCs w:val="22"/>
                <w:lang w:eastAsia="zh-CN"/>
              </w:rPr>
              <w:t>；</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7</w:t>
            </w:r>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53</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17</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F1=报价得分按照低价优先法计算，即满足响应文件要求且投标价格最低的有效投标报价为评标基准价；</w:t>
            </w:r>
          </w:p>
          <w:p w14:paraId="2DEFC3DD">
            <w:p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报价得分=（评标基准价／报价）×30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0FCBF879">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技术部分F2（53分）</w:t>
            </w:r>
          </w:p>
        </w:tc>
        <w:tc>
          <w:tcPr>
            <w:tcW w:w="6708" w:type="dxa"/>
            <w:noWrap w:val="0"/>
            <w:vAlign w:val="center"/>
          </w:tcPr>
          <w:p w14:paraId="53D001D7">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（1）项目整体理解与设计思路（满分10分）</w:t>
            </w:r>
          </w:p>
          <w:p w14:paraId="35367304">
            <w:pPr>
              <w:numPr>
                <w:ilvl w:val="0"/>
                <w:numId w:val="0"/>
              </w:num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第一个档次（8—10分）：</w:t>
            </w:r>
            <w:r>
              <w:rPr>
                <w:rFonts w:hint="eastAsia" w:ascii="仿宋" w:hAnsi="仿宋" w:eastAsia="仿宋" w:cs="仿宋"/>
                <w:b w:val="0"/>
                <w:bCs w:val="0"/>
                <w:color w:val="auto"/>
                <w:sz w:val="22"/>
                <w:szCs w:val="22"/>
                <w:lang w:val="en-US" w:eastAsia="zh-CN"/>
              </w:rPr>
              <w:t>充分理解项目需求，根据项目情况制定方案，贴合实际</w:t>
            </w:r>
            <w:r>
              <w:rPr>
                <w:rFonts w:hint="default" w:ascii="仿宋" w:hAnsi="仿宋" w:eastAsia="仿宋" w:cs="仿宋"/>
                <w:b w:val="0"/>
                <w:bCs w:val="0"/>
                <w:color w:val="auto"/>
                <w:sz w:val="22"/>
                <w:szCs w:val="22"/>
                <w:lang w:val="en-US" w:eastAsia="zh-CN"/>
              </w:rPr>
              <w:t>；</w:t>
            </w:r>
          </w:p>
          <w:p w14:paraId="6653E74F">
            <w:pPr>
              <w:numPr>
                <w:ilvl w:val="0"/>
                <w:numId w:val="0"/>
              </w:num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w:t>
            </w:r>
            <w:r>
              <w:rPr>
                <w:rFonts w:hint="default" w:ascii="仿宋" w:hAnsi="仿宋" w:eastAsia="仿宋" w:cs="仿宋"/>
                <w:b/>
                <w:bCs/>
                <w:color w:val="auto"/>
                <w:sz w:val="22"/>
                <w:szCs w:val="22"/>
                <w:lang w:val="en-US" w:eastAsia="zh-CN"/>
              </w:rPr>
              <w:t>（5</w:t>
            </w:r>
            <w:r>
              <w:rPr>
                <w:rFonts w:hint="eastAsia" w:ascii="仿宋" w:hAnsi="仿宋" w:eastAsia="仿宋" w:cs="仿宋"/>
                <w:b/>
                <w:bCs/>
                <w:color w:val="auto"/>
                <w:sz w:val="22"/>
                <w:szCs w:val="22"/>
                <w:lang w:val="en-US" w:eastAsia="zh-CN"/>
              </w:rPr>
              <w:t>—</w:t>
            </w:r>
            <w:r>
              <w:rPr>
                <w:rFonts w:hint="default" w:ascii="仿宋" w:hAnsi="仿宋" w:eastAsia="仿宋" w:cs="仿宋"/>
                <w:b/>
                <w:bCs/>
                <w:color w:val="auto"/>
                <w:sz w:val="22"/>
                <w:szCs w:val="22"/>
                <w:lang w:val="en-US" w:eastAsia="zh-CN"/>
              </w:rPr>
              <w:t>7分）：</w:t>
            </w:r>
            <w:r>
              <w:rPr>
                <w:rFonts w:hint="default" w:ascii="仿宋" w:hAnsi="仿宋" w:eastAsia="仿宋" w:cs="仿宋"/>
                <w:b w:val="0"/>
                <w:bCs w:val="0"/>
                <w:color w:val="auto"/>
                <w:sz w:val="22"/>
                <w:szCs w:val="22"/>
                <w:lang w:val="en-US" w:eastAsia="zh-CN"/>
              </w:rPr>
              <w:t>理解项目基本需求，设计思路完整，</w:t>
            </w:r>
            <w:r>
              <w:rPr>
                <w:rFonts w:hint="eastAsia" w:ascii="仿宋" w:hAnsi="仿宋" w:eastAsia="仿宋" w:cs="仿宋"/>
                <w:b w:val="0"/>
                <w:bCs w:val="0"/>
                <w:color w:val="auto"/>
                <w:sz w:val="22"/>
                <w:szCs w:val="22"/>
                <w:lang w:val="en-US" w:eastAsia="zh-CN"/>
              </w:rPr>
              <w:t>制定完整方案</w:t>
            </w:r>
            <w:r>
              <w:rPr>
                <w:rFonts w:hint="default" w:ascii="仿宋" w:hAnsi="仿宋" w:eastAsia="仿宋" w:cs="仿宋"/>
                <w:b w:val="0"/>
                <w:bCs w:val="0"/>
                <w:color w:val="auto"/>
                <w:sz w:val="22"/>
                <w:szCs w:val="22"/>
                <w:lang w:val="en-US" w:eastAsia="zh-CN"/>
              </w:rPr>
              <w:t>；</w:t>
            </w:r>
          </w:p>
          <w:p w14:paraId="5BCC0964">
            <w:pPr>
              <w:numPr>
                <w:ilvl w:val="0"/>
                <w:numId w:val="0"/>
              </w:num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w:t>
            </w:r>
            <w:r>
              <w:rPr>
                <w:rFonts w:hint="default" w:ascii="仿宋" w:hAnsi="仿宋" w:eastAsia="仿宋" w:cs="仿宋"/>
                <w:b/>
                <w:bCs/>
                <w:color w:val="auto"/>
                <w:sz w:val="22"/>
                <w:szCs w:val="22"/>
                <w:lang w:val="en-US" w:eastAsia="zh-CN"/>
              </w:rPr>
              <w:t>（1</w:t>
            </w:r>
            <w:r>
              <w:rPr>
                <w:rFonts w:hint="eastAsia" w:ascii="仿宋" w:hAnsi="仿宋" w:eastAsia="仿宋" w:cs="仿宋"/>
                <w:b/>
                <w:bCs/>
                <w:color w:val="auto"/>
                <w:sz w:val="22"/>
                <w:szCs w:val="22"/>
                <w:lang w:val="en-US" w:eastAsia="zh-CN"/>
              </w:rPr>
              <w:t>—</w:t>
            </w:r>
            <w:r>
              <w:rPr>
                <w:rFonts w:hint="default" w:ascii="仿宋" w:hAnsi="仿宋" w:eastAsia="仿宋" w:cs="仿宋"/>
                <w:b/>
                <w:bCs/>
                <w:color w:val="auto"/>
                <w:sz w:val="22"/>
                <w:szCs w:val="22"/>
                <w:lang w:val="en-US" w:eastAsia="zh-CN"/>
              </w:rPr>
              <w:t>4分）：</w:t>
            </w:r>
            <w:r>
              <w:rPr>
                <w:rFonts w:hint="default" w:ascii="仿宋" w:hAnsi="仿宋" w:eastAsia="仿宋" w:cs="仿宋"/>
                <w:b w:val="0"/>
                <w:bCs w:val="0"/>
                <w:color w:val="auto"/>
                <w:sz w:val="22"/>
                <w:szCs w:val="22"/>
                <w:lang w:val="en-US" w:eastAsia="zh-CN"/>
              </w:rPr>
              <w:t>对项目需求理解浅显，方案针对性弱；</w:t>
            </w:r>
          </w:p>
          <w:p w14:paraId="47B02F3D">
            <w:pPr>
              <w:numPr>
                <w:ilvl w:val="0"/>
                <w:numId w:val="0"/>
              </w:num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未提供不</w:t>
            </w:r>
            <w:r>
              <w:rPr>
                <w:rFonts w:hint="eastAsia" w:ascii="仿宋" w:hAnsi="仿宋" w:eastAsia="仿宋" w:cs="仿宋"/>
                <w:b w:val="0"/>
                <w:bCs w:val="0"/>
                <w:color w:val="auto"/>
                <w:sz w:val="22"/>
                <w:szCs w:val="22"/>
                <w:lang w:val="en-US" w:eastAsia="zh-CN"/>
              </w:rPr>
              <w:t>得分。</w:t>
            </w:r>
          </w:p>
          <w:p w14:paraId="47B3C26B">
            <w:pPr>
              <w:numPr>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（2）规划文本编制实施方案（满分17分）</w:t>
            </w:r>
          </w:p>
          <w:p w14:paraId="02DF89FF">
            <w:pPr>
              <w:numPr>
                <w:ilvl w:val="0"/>
                <w:numId w:val="0"/>
              </w:numPr>
              <w:spacing w:line="360" w:lineRule="auto"/>
              <w:ind w:leftChars="0"/>
              <w:jc w:val="left"/>
              <w:rPr>
                <w:rFonts w:hint="default"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第一个档次（12—17</w:t>
            </w:r>
            <w:r>
              <w:rPr>
                <w:rFonts w:hint="default" w:ascii="仿宋" w:hAnsi="仿宋" w:eastAsia="仿宋" w:cs="仿宋"/>
                <w:b/>
                <w:bCs/>
                <w:color w:val="auto"/>
                <w:sz w:val="22"/>
                <w:szCs w:val="22"/>
                <w:lang w:val="en-US" w:eastAsia="zh-CN"/>
              </w:rPr>
              <w:t>分</w:t>
            </w:r>
            <w:r>
              <w:rPr>
                <w:rFonts w:hint="eastAsia" w:ascii="仿宋" w:hAnsi="仿宋" w:eastAsia="仿宋" w:cs="仿宋"/>
                <w:b/>
                <w:bCs/>
                <w:color w:val="auto"/>
                <w:sz w:val="22"/>
                <w:szCs w:val="22"/>
                <w:lang w:val="en-US" w:eastAsia="zh-CN"/>
              </w:rPr>
              <w:t>）：</w:t>
            </w:r>
            <w:r>
              <w:rPr>
                <w:rFonts w:hint="default" w:ascii="仿宋" w:hAnsi="仿宋" w:eastAsia="仿宋" w:cs="仿宋"/>
                <w:b w:val="0"/>
                <w:bCs w:val="0"/>
                <w:color w:val="auto"/>
                <w:sz w:val="22"/>
                <w:szCs w:val="22"/>
                <w:lang w:val="en-US" w:eastAsia="zh-CN"/>
              </w:rPr>
              <w:t>编制内容涵盖场地现状分析、总平面布局等全部报审必备内容，</w:t>
            </w:r>
            <w:r>
              <w:rPr>
                <w:rFonts w:hint="eastAsia" w:ascii="仿宋" w:hAnsi="仿宋" w:eastAsia="仿宋" w:cs="仿宋"/>
                <w:b w:val="0"/>
                <w:bCs w:val="0"/>
                <w:color w:val="auto"/>
                <w:sz w:val="22"/>
                <w:szCs w:val="22"/>
                <w:lang w:val="en-US" w:eastAsia="zh-CN"/>
              </w:rPr>
              <w:t>充分</w:t>
            </w:r>
            <w:r>
              <w:rPr>
                <w:rFonts w:hint="default" w:ascii="仿宋" w:hAnsi="仿宋" w:eastAsia="仿宋" w:cs="仿宋"/>
                <w:b w:val="0"/>
                <w:bCs w:val="0"/>
                <w:color w:val="auto"/>
                <w:sz w:val="22"/>
                <w:szCs w:val="22"/>
                <w:lang w:val="en-US" w:eastAsia="zh-CN"/>
              </w:rPr>
              <w:t>满足规划审批要求，编制流程清晰、成果完整规范；</w:t>
            </w:r>
          </w:p>
          <w:p w14:paraId="2B6782C0">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第二个档次（6—11分）：</w:t>
            </w:r>
            <w:r>
              <w:rPr>
                <w:rFonts w:hint="default" w:ascii="仿宋" w:hAnsi="仿宋" w:eastAsia="仿宋" w:cs="仿宋"/>
                <w:b w:val="0"/>
                <w:bCs w:val="0"/>
                <w:color w:val="auto"/>
                <w:sz w:val="22"/>
                <w:szCs w:val="22"/>
                <w:lang w:val="en-US" w:eastAsia="zh-CN"/>
              </w:rPr>
              <w:t>编制内容涵盖场地现状分析、总平面布局等全部报审必备内容，</w:t>
            </w:r>
            <w:r>
              <w:rPr>
                <w:rFonts w:hint="eastAsia" w:ascii="仿宋" w:hAnsi="仿宋" w:eastAsia="仿宋" w:cs="仿宋"/>
                <w:b w:val="0"/>
                <w:bCs w:val="0"/>
                <w:color w:val="auto"/>
                <w:sz w:val="22"/>
                <w:szCs w:val="22"/>
                <w:lang w:val="en-US" w:eastAsia="zh-CN"/>
              </w:rPr>
              <w:t>基本满足</w:t>
            </w:r>
            <w:r>
              <w:rPr>
                <w:rFonts w:hint="default" w:ascii="仿宋" w:hAnsi="仿宋" w:eastAsia="仿宋" w:cs="仿宋"/>
                <w:b w:val="0"/>
                <w:bCs w:val="0"/>
                <w:color w:val="auto"/>
                <w:sz w:val="22"/>
                <w:szCs w:val="22"/>
                <w:lang w:val="en-US" w:eastAsia="zh-CN"/>
              </w:rPr>
              <w:t>规划审批要求</w:t>
            </w:r>
            <w:r>
              <w:rPr>
                <w:rFonts w:hint="eastAsia" w:ascii="仿宋" w:hAnsi="仿宋" w:eastAsia="仿宋" w:cs="仿宋"/>
                <w:b w:val="0"/>
                <w:bCs w:val="0"/>
                <w:color w:val="auto"/>
                <w:sz w:val="22"/>
                <w:szCs w:val="22"/>
                <w:lang w:val="en-US" w:eastAsia="zh-CN"/>
              </w:rPr>
              <w:t>；</w:t>
            </w:r>
          </w:p>
          <w:p w14:paraId="19DDA311">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第三个档次（1—5分）：</w:t>
            </w:r>
            <w:r>
              <w:rPr>
                <w:rFonts w:hint="eastAsia" w:ascii="仿宋" w:hAnsi="仿宋" w:eastAsia="仿宋" w:cs="仿宋"/>
                <w:b w:val="0"/>
                <w:bCs w:val="0"/>
                <w:color w:val="auto"/>
                <w:sz w:val="22"/>
                <w:szCs w:val="22"/>
                <w:lang w:val="en-US" w:eastAsia="zh-CN"/>
              </w:rPr>
              <w:t>缺多项关键编制内容，无法直接用于报审；</w:t>
            </w:r>
          </w:p>
          <w:p w14:paraId="2376EE05">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w:t>
            </w:r>
            <w:r>
              <w:rPr>
                <w:rFonts w:hint="eastAsia" w:ascii="仿宋" w:hAnsi="仿宋" w:eastAsia="仿宋" w:cs="仿宋"/>
                <w:b w:val="0"/>
                <w:bCs w:val="0"/>
                <w:color w:val="auto"/>
                <w:sz w:val="22"/>
                <w:szCs w:val="22"/>
                <w:lang w:val="en-US" w:eastAsia="zh-CN"/>
              </w:rPr>
              <w:t>不</w:t>
            </w:r>
            <w:r>
              <w:rPr>
                <w:rFonts w:hint="default" w:ascii="仿宋" w:hAnsi="仿宋" w:eastAsia="仿宋" w:cs="仿宋"/>
                <w:b w:val="0"/>
                <w:bCs w:val="0"/>
                <w:color w:val="auto"/>
                <w:sz w:val="22"/>
                <w:szCs w:val="22"/>
                <w:lang w:val="en-US" w:eastAsia="zh-CN"/>
              </w:rPr>
              <w:t>得分</w:t>
            </w:r>
            <w:r>
              <w:rPr>
                <w:rFonts w:hint="eastAsia" w:ascii="仿宋" w:hAnsi="仿宋" w:eastAsia="仿宋" w:cs="仿宋"/>
                <w:b w:val="0"/>
                <w:bCs w:val="0"/>
                <w:color w:val="auto"/>
                <w:sz w:val="22"/>
                <w:szCs w:val="22"/>
                <w:lang w:val="en-US" w:eastAsia="zh-CN"/>
              </w:rPr>
              <w:t>。</w:t>
            </w:r>
          </w:p>
          <w:p w14:paraId="1171F23C">
            <w:pPr>
              <w:numPr>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（3）初步设计编制实施方案（满分12分）</w:t>
            </w:r>
          </w:p>
          <w:p w14:paraId="2F35D523">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第一个档次（9—12分）：</w:t>
            </w:r>
            <w:r>
              <w:rPr>
                <w:rFonts w:hint="eastAsia" w:ascii="仿宋" w:hAnsi="仿宋" w:eastAsia="仿宋" w:cs="仿宋"/>
                <w:b w:val="0"/>
                <w:bCs w:val="0"/>
                <w:color w:val="auto"/>
                <w:sz w:val="22"/>
                <w:szCs w:val="22"/>
                <w:lang w:val="en-US" w:eastAsia="zh-CN"/>
              </w:rPr>
              <w:t>方案全面，配套设计概算编制规范精准，内容完善；</w:t>
            </w:r>
          </w:p>
          <w:p w14:paraId="708F228F">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第二个档次（5—8分）：</w:t>
            </w:r>
            <w:r>
              <w:rPr>
                <w:rFonts w:hint="eastAsia" w:ascii="仿宋" w:hAnsi="仿宋" w:eastAsia="仿宋" w:cs="仿宋"/>
                <w:b w:val="0"/>
                <w:bCs w:val="0"/>
                <w:color w:val="auto"/>
                <w:sz w:val="22"/>
                <w:szCs w:val="22"/>
                <w:lang w:val="en-US" w:eastAsia="zh-CN"/>
              </w:rPr>
              <w:t>各专业内容齐全，重难点有常规解决方案，基本满足初设报审；</w:t>
            </w:r>
          </w:p>
          <w:p w14:paraId="5C1BC5E4">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第三个档次（1—4分）：</w:t>
            </w:r>
            <w:r>
              <w:rPr>
                <w:rFonts w:hint="eastAsia" w:ascii="仿宋" w:hAnsi="仿宋" w:eastAsia="仿宋" w:cs="仿宋"/>
                <w:b w:val="0"/>
                <w:bCs w:val="0"/>
                <w:color w:val="auto"/>
                <w:sz w:val="22"/>
                <w:szCs w:val="22"/>
                <w:lang w:val="en-US" w:eastAsia="zh-CN"/>
              </w:rPr>
              <w:t>专业内容缺项较多，设计方案不充分；</w:t>
            </w:r>
          </w:p>
          <w:p w14:paraId="03448247">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未提供不得分</w:t>
            </w:r>
            <w:r>
              <w:rPr>
                <w:rFonts w:hint="eastAsia" w:ascii="仿宋" w:hAnsi="仿宋" w:eastAsia="仿宋" w:cs="仿宋"/>
                <w:b w:val="0"/>
                <w:bCs w:val="0"/>
                <w:color w:val="auto"/>
                <w:sz w:val="22"/>
                <w:szCs w:val="22"/>
                <w:lang w:val="en-US" w:eastAsia="zh-CN"/>
              </w:rPr>
              <w:t>。</w:t>
            </w:r>
          </w:p>
          <w:p w14:paraId="45BD4A2D">
            <w:pPr>
              <w:numPr>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（4）项目进度保障及对接服务方案（满分7分）</w:t>
            </w:r>
          </w:p>
          <w:p w14:paraId="58A55ECC">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第一个档次（5—7分）：</w:t>
            </w:r>
            <w:r>
              <w:rPr>
                <w:rFonts w:hint="default" w:ascii="仿宋" w:hAnsi="仿宋" w:eastAsia="仿宋" w:cs="仿宋"/>
                <w:b w:val="0"/>
                <w:bCs w:val="0"/>
                <w:color w:val="auto"/>
                <w:sz w:val="22"/>
                <w:szCs w:val="22"/>
                <w:lang w:val="en-US" w:eastAsia="zh-CN"/>
              </w:rPr>
              <w:t>明确各阶段交付时限、内审流程、专人对接、工期加急预案，管控措施落地可行</w:t>
            </w:r>
            <w:r>
              <w:rPr>
                <w:rFonts w:hint="eastAsia" w:ascii="仿宋" w:hAnsi="仿宋" w:eastAsia="仿宋" w:cs="仿宋"/>
                <w:b w:val="0"/>
                <w:bCs w:val="0"/>
                <w:color w:val="auto"/>
                <w:sz w:val="22"/>
                <w:szCs w:val="22"/>
                <w:lang w:val="en-US" w:eastAsia="zh-CN"/>
              </w:rPr>
              <w:t>；</w:t>
            </w:r>
          </w:p>
          <w:p w14:paraId="14832C86">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第二个档次（3—4分）：</w:t>
            </w:r>
            <w:r>
              <w:rPr>
                <w:rFonts w:hint="eastAsia" w:ascii="仿宋" w:hAnsi="仿宋" w:eastAsia="仿宋" w:cs="仿宋"/>
                <w:b w:val="0"/>
                <w:bCs w:val="0"/>
                <w:color w:val="auto"/>
                <w:sz w:val="22"/>
                <w:szCs w:val="22"/>
                <w:lang w:val="en-US" w:eastAsia="zh-CN"/>
              </w:rPr>
              <w:t>有基本进度计划，保障措施简单完整；</w:t>
            </w:r>
          </w:p>
          <w:p w14:paraId="7071A890">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第三个档次（1—2分）：</w:t>
            </w:r>
            <w:r>
              <w:rPr>
                <w:rFonts w:hint="eastAsia" w:ascii="仿宋" w:hAnsi="仿宋" w:eastAsia="仿宋" w:cs="仿宋"/>
                <w:b w:val="0"/>
                <w:bCs w:val="0"/>
                <w:color w:val="auto"/>
                <w:sz w:val="22"/>
                <w:szCs w:val="22"/>
                <w:lang w:val="en-US" w:eastAsia="zh-CN"/>
              </w:rPr>
              <w:t>进度安排模糊，无应急保障方案；</w:t>
            </w:r>
          </w:p>
          <w:p w14:paraId="4077524D">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未提供不得分</w:t>
            </w:r>
            <w:r>
              <w:rPr>
                <w:rFonts w:hint="eastAsia" w:ascii="仿宋" w:hAnsi="仿宋" w:eastAsia="仿宋" w:cs="仿宋"/>
                <w:b w:val="0"/>
                <w:bCs w:val="0"/>
                <w:color w:val="auto"/>
                <w:sz w:val="22"/>
                <w:szCs w:val="22"/>
                <w:lang w:val="en-US" w:eastAsia="zh-CN"/>
              </w:rPr>
              <w:t>。</w:t>
            </w:r>
          </w:p>
          <w:p w14:paraId="6A7D9903">
            <w:pPr>
              <w:numPr>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（5</w:t>
            </w:r>
            <w:bookmarkStart w:id="6" w:name="_GoBack"/>
            <w:bookmarkEnd w:id="6"/>
            <w:r>
              <w:rPr>
                <w:rFonts w:hint="eastAsia" w:ascii="仿宋" w:hAnsi="仿宋" w:eastAsia="仿宋" w:cs="仿宋"/>
                <w:b w:val="0"/>
                <w:bCs w:val="0"/>
                <w:color w:val="auto"/>
                <w:sz w:val="22"/>
                <w:szCs w:val="22"/>
                <w:lang w:val="en-US" w:eastAsia="zh-CN"/>
              </w:rPr>
              <w:t>）质量管控、保密及售后承诺（满分7分）</w:t>
            </w:r>
          </w:p>
          <w:p w14:paraId="2A620342">
            <w:pPr>
              <w:numPr>
                <w:ilvl w:val="0"/>
                <w:numId w:val="0"/>
              </w:numPr>
              <w:spacing w:line="360" w:lineRule="auto"/>
              <w:ind w:leftChars="0"/>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第一个档次（5—7分）：</w:t>
            </w:r>
            <w:r>
              <w:rPr>
                <w:rFonts w:hint="default" w:ascii="仿宋" w:hAnsi="仿宋" w:eastAsia="仿宋" w:cs="仿宋"/>
                <w:b w:val="0"/>
                <w:bCs w:val="0"/>
                <w:color w:val="auto"/>
                <w:sz w:val="22"/>
                <w:szCs w:val="22"/>
                <w:lang w:val="en-US" w:eastAsia="zh-CN"/>
              </w:rPr>
              <w:t>保密方案合理且有针对性，方案清晰明了、切合实际</w:t>
            </w:r>
            <w:r>
              <w:rPr>
                <w:rFonts w:hint="eastAsia" w:ascii="仿宋" w:hAnsi="仿宋" w:eastAsia="仿宋" w:cs="仿宋"/>
                <w:b w:val="0"/>
                <w:bCs w:val="0"/>
                <w:color w:val="auto"/>
                <w:sz w:val="22"/>
                <w:szCs w:val="22"/>
                <w:lang w:val="en-US" w:eastAsia="zh-CN"/>
              </w:rPr>
              <w:t>，完全符合</w:t>
            </w:r>
            <w:r>
              <w:rPr>
                <w:rFonts w:hint="default" w:ascii="仿宋" w:hAnsi="仿宋" w:eastAsia="仿宋" w:cs="仿宋"/>
                <w:b w:val="0"/>
                <w:bCs w:val="0"/>
                <w:color w:val="auto"/>
                <w:sz w:val="22"/>
                <w:szCs w:val="22"/>
                <w:lang w:val="en-US" w:eastAsia="zh-CN"/>
              </w:rPr>
              <w:t xml:space="preserve">采购需求； </w:t>
            </w:r>
          </w:p>
          <w:p w14:paraId="01DD9DB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第二个档次（3—4分）：</w:t>
            </w:r>
            <w:r>
              <w:rPr>
                <w:rFonts w:hint="default" w:ascii="仿宋" w:hAnsi="仿宋" w:eastAsia="仿宋" w:cs="仿宋"/>
                <w:b w:val="0"/>
                <w:bCs w:val="0"/>
                <w:color w:val="auto"/>
                <w:sz w:val="22"/>
                <w:szCs w:val="22"/>
                <w:lang w:val="en-US" w:eastAsia="zh-CN"/>
              </w:rPr>
              <w:t>保密方案较为合理</w:t>
            </w:r>
            <w:r>
              <w:rPr>
                <w:rFonts w:hint="eastAsia" w:ascii="仿宋" w:hAnsi="仿宋" w:eastAsia="仿宋" w:cs="仿宋"/>
                <w:b w:val="0"/>
                <w:bCs w:val="0"/>
                <w:color w:val="auto"/>
                <w:sz w:val="22"/>
                <w:szCs w:val="22"/>
                <w:lang w:val="en-US" w:eastAsia="zh-CN"/>
              </w:rPr>
              <w:t>且</w:t>
            </w:r>
            <w:r>
              <w:rPr>
                <w:rFonts w:hint="default" w:ascii="仿宋" w:hAnsi="仿宋" w:eastAsia="仿宋" w:cs="仿宋"/>
                <w:b w:val="0"/>
                <w:bCs w:val="0"/>
                <w:color w:val="auto"/>
                <w:sz w:val="22"/>
                <w:szCs w:val="22"/>
                <w:lang w:val="en-US" w:eastAsia="zh-CN"/>
              </w:rPr>
              <w:t xml:space="preserve">有一定的针对性，方案基本符合采购需求； </w:t>
            </w:r>
          </w:p>
          <w:p w14:paraId="102DFA46">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第三个档次（1—2分）：</w:t>
            </w:r>
            <w:r>
              <w:rPr>
                <w:rFonts w:hint="default" w:ascii="仿宋" w:hAnsi="仿宋" w:eastAsia="仿宋" w:cs="仿宋"/>
                <w:b w:val="0"/>
                <w:bCs w:val="0"/>
                <w:color w:val="auto"/>
                <w:sz w:val="22"/>
                <w:szCs w:val="22"/>
                <w:lang w:val="en-US" w:eastAsia="zh-CN"/>
              </w:rPr>
              <w:t>保密方案不够合理，方案不清晰</w:t>
            </w:r>
            <w:r>
              <w:rPr>
                <w:rFonts w:hint="eastAsia" w:ascii="仿宋" w:hAnsi="仿宋" w:eastAsia="仿宋" w:cs="仿宋"/>
                <w:b w:val="0"/>
                <w:bCs w:val="0"/>
                <w:color w:val="auto"/>
                <w:sz w:val="22"/>
                <w:szCs w:val="22"/>
                <w:lang w:val="en-US" w:eastAsia="zh-CN"/>
              </w:rPr>
              <w:t>，不能</w:t>
            </w:r>
            <w:r>
              <w:rPr>
                <w:rFonts w:hint="default" w:ascii="仿宋" w:hAnsi="仿宋" w:eastAsia="仿宋" w:cs="仿宋"/>
                <w:b w:val="0"/>
                <w:bCs w:val="0"/>
                <w:color w:val="auto"/>
                <w:sz w:val="22"/>
                <w:szCs w:val="22"/>
                <w:lang w:val="en-US" w:eastAsia="zh-CN"/>
              </w:rPr>
              <w:t>完全符合采购需求</w:t>
            </w:r>
            <w:r>
              <w:rPr>
                <w:rFonts w:hint="eastAsia" w:ascii="仿宋" w:hAnsi="仿宋" w:eastAsia="仿宋" w:cs="仿宋"/>
                <w:b w:val="0"/>
                <w:bCs w:val="0"/>
                <w:color w:val="auto"/>
                <w:sz w:val="22"/>
                <w:szCs w:val="22"/>
                <w:lang w:val="en-US" w:eastAsia="zh-CN"/>
              </w:rPr>
              <w:t>；</w:t>
            </w:r>
          </w:p>
          <w:p w14:paraId="75424113">
            <w:pPr>
              <w:numPr>
                <w:ilvl w:val="0"/>
                <w:numId w:val="0"/>
              </w:num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w:t>
            </w:r>
            <w:r>
              <w:rPr>
                <w:rFonts w:hint="eastAsia" w:ascii="仿宋" w:hAnsi="仿宋" w:eastAsia="仿宋" w:cs="仿宋"/>
                <w:b w:val="0"/>
                <w:bCs w:val="0"/>
                <w:color w:val="auto"/>
                <w:sz w:val="22"/>
                <w:szCs w:val="22"/>
                <w:lang w:val="en-US" w:eastAsia="zh-CN"/>
              </w:rPr>
              <w:t>提供</w:t>
            </w:r>
            <w:r>
              <w:rPr>
                <w:rFonts w:hint="default" w:ascii="仿宋" w:hAnsi="仿宋" w:eastAsia="仿宋" w:cs="仿宋"/>
                <w:b w:val="0"/>
                <w:bCs w:val="0"/>
                <w:color w:val="auto"/>
                <w:sz w:val="22"/>
                <w:szCs w:val="22"/>
                <w:lang w:val="en-US" w:eastAsia="zh-CN"/>
              </w:rPr>
              <w:t>不得分</w:t>
            </w:r>
            <w:r>
              <w:rPr>
                <w:rFonts w:hint="eastAsia" w:ascii="仿宋" w:hAnsi="仿宋" w:eastAsia="仿宋" w:cs="仿宋"/>
                <w:b w:val="0"/>
                <w:bCs w:val="0"/>
                <w:color w:val="auto"/>
                <w:sz w:val="22"/>
                <w:szCs w:val="22"/>
                <w:lang w:val="en-US" w:eastAsia="zh-CN"/>
              </w:rPr>
              <w:t>。</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7708FB3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商务部分F3（17分）</w:t>
            </w:r>
          </w:p>
        </w:tc>
        <w:tc>
          <w:tcPr>
            <w:tcW w:w="6708" w:type="dxa"/>
            <w:noWrap w:val="0"/>
            <w:vAlign w:val="center"/>
          </w:tcPr>
          <w:p w14:paraId="28511C7B">
            <w:pPr>
              <w:numPr>
                <w:ilvl w:val="0"/>
                <w:numId w:val="1"/>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项目核心设计团队（满分9分）</w:t>
            </w:r>
          </w:p>
          <w:p w14:paraId="278E1417">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第一个档次（7—9分）：</w:t>
            </w:r>
            <w:r>
              <w:rPr>
                <w:rFonts w:hint="eastAsia" w:ascii="仿宋" w:hAnsi="仿宋" w:eastAsia="仿宋" w:cs="仿宋"/>
                <w:b w:val="0"/>
                <w:bCs w:val="0"/>
                <w:color w:val="auto"/>
                <w:sz w:val="22"/>
                <w:szCs w:val="22"/>
                <w:lang w:val="en-US" w:eastAsia="zh-CN"/>
              </w:rPr>
              <w:t>项目团队人员配置充足，核心人员具备相关资质与丰富的同类项目服务经验，人员岗位职责清晰，完全满足项目服务需求；</w:t>
            </w:r>
          </w:p>
          <w:p w14:paraId="5744ED48">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第二个档次（4—6分）：</w:t>
            </w:r>
            <w:r>
              <w:rPr>
                <w:rFonts w:hint="eastAsia" w:ascii="仿宋" w:hAnsi="仿宋" w:eastAsia="仿宋" w:cs="仿宋"/>
                <w:b w:val="0"/>
                <w:bCs w:val="0"/>
                <w:color w:val="auto"/>
                <w:sz w:val="22"/>
                <w:szCs w:val="22"/>
                <w:lang w:val="en-US" w:eastAsia="zh-CN"/>
              </w:rPr>
              <w:t>项目团队人员配置基本充足，核心人员具备相关资质，可满足项目基本服务需求；</w:t>
            </w:r>
          </w:p>
          <w:p w14:paraId="1DAF2B5E">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bCs/>
                <w:color w:val="auto"/>
                <w:sz w:val="22"/>
                <w:szCs w:val="22"/>
                <w:lang w:val="en-US" w:eastAsia="zh-CN"/>
              </w:rPr>
              <w:t>第三个档次（1—3分）：</w:t>
            </w:r>
            <w:r>
              <w:rPr>
                <w:rFonts w:hint="eastAsia" w:ascii="仿宋" w:hAnsi="仿宋" w:eastAsia="仿宋" w:cs="仿宋"/>
                <w:b w:val="0"/>
                <w:bCs w:val="0"/>
                <w:color w:val="auto"/>
                <w:sz w:val="22"/>
                <w:szCs w:val="22"/>
                <w:lang w:val="en-US" w:eastAsia="zh-CN"/>
              </w:rPr>
              <w:t>项目团队人员配置不足，核心人员不具备相关资质，无法满足项目服务需求；</w:t>
            </w:r>
          </w:p>
          <w:p w14:paraId="536A3AD2">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未提供不得分</w:t>
            </w:r>
            <w:r>
              <w:rPr>
                <w:rFonts w:hint="eastAsia" w:ascii="仿宋" w:hAnsi="仿宋" w:eastAsia="仿宋" w:cs="仿宋"/>
                <w:b w:val="0"/>
                <w:bCs w:val="0"/>
                <w:color w:val="auto"/>
                <w:sz w:val="22"/>
                <w:szCs w:val="22"/>
                <w:lang w:val="en-US" w:eastAsia="zh-CN"/>
              </w:rPr>
              <w:t>。</w:t>
            </w:r>
          </w:p>
          <w:p w14:paraId="6DE87EE3">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（2）项目业绩（满分8分）</w:t>
            </w:r>
          </w:p>
          <w:p w14:paraId="6E1C6842">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供应商近三年（2023年7月至今）完成过类似项目业绩，提供2项证明材料得基础分4分，在此基础上每多1份证明材料加1分，本项满分8分。供应商须提供中标（成交）通知书或合同复印件并加盖公章方可计分，未提供证明材料的不得分。扫描件须清晰可辨，否则视为未提供。</w:t>
            </w:r>
          </w:p>
        </w:tc>
      </w:tr>
    </w:tbl>
    <w:p w14:paraId="558D8F1B">
      <w:pPr>
        <w:numPr>
          <w:ilvl w:val="0"/>
          <w:numId w:val="2"/>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319ECCC7">
      <w:pPr>
        <w:spacing w:line="480" w:lineRule="exact"/>
        <w:ind w:firstLine="440" w:firstLineChars="200"/>
        <w:rPr>
          <w:rFonts w:hint="eastAsia" w:eastAsia="宋体"/>
          <w:lang w:eastAsia="zh-CN"/>
        </w:rPr>
      </w:pPr>
      <w:r>
        <w:rPr>
          <w:rFonts w:hint="eastAsia" w:ascii="仿宋" w:hAnsi="仿宋" w:eastAsia="仿宋" w:cs="仿宋"/>
          <w:color w:val="auto"/>
          <w:sz w:val="22"/>
          <w:szCs w:val="22"/>
        </w:rPr>
        <w:t>（2）统计分数原则：计算算术平均分值为</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的各部分得分（保留小数点后两位）。</w:t>
      </w:r>
    </w:p>
    <w:p w14:paraId="186546E1">
      <w:pPr>
        <w:tabs>
          <w:tab w:val="left" w:pos="1293"/>
        </w:tabs>
        <w:bidi w:val="0"/>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1" w:fontKey="{1BA26590-FF02-422A-A4D5-BDE9837F6DB6}"/>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57D229"/>
    <w:multiLevelType w:val="singleLevel"/>
    <w:tmpl w:val="B457D229"/>
    <w:lvl w:ilvl="0" w:tentative="0">
      <w:start w:val="2"/>
      <w:numFmt w:val="chineseCounting"/>
      <w:suff w:val="nothing"/>
      <w:lvlText w:val="%1、"/>
      <w:lvlJc w:val="left"/>
      <w:rPr>
        <w:rFonts w:hint="eastAsia"/>
      </w:rPr>
    </w:lvl>
  </w:abstractNum>
  <w:abstractNum w:abstractNumId="1">
    <w:nsid w:val="15FE3965"/>
    <w:multiLevelType w:val="singleLevel"/>
    <w:tmpl w:val="15FE3965"/>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313F69"/>
    <w:rsid w:val="00AB1812"/>
    <w:rsid w:val="01341807"/>
    <w:rsid w:val="01B73BF6"/>
    <w:rsid w:val="022D1A18"/>
    <w:rsid w:val="02693A40"/>
    <w:rsid w:val="02931952"/>
    <w:rsid w:val="02C60B85"/>
    <w:rsid w:val="033A4820"/>
    <w:rsid w:val="04082AD7"/>
    <w:rsid w:val="04B86FD2"/>
    <w:rsid w:val="04CB5B55"/>
    <w:rsid w:val="055C757F"/>
    <w:rsid w:val="06BA5EFA"/>
    <w:rsid w:val="06F37A6F"/>
    <w:rsid w:val="076775B0"/>
    <w:rsid w:val="078222A7"/>
    <w:rsid w:val="08017F69"/>
    <w:rsid w:val="085E716A"/>
    <w:rsid w:val="087813C1"/>
    <w:rsid w:val="09C35E1E"/>
    <w:rsid w:val="0BB26044"/>
    <w:rsid w:val="0DE85718"/>
    <w:rsid w:val="0EB21951"/>
    <w:rsid w:val="0F384BB8"/>
    <w:rsid w:val="0F91377B"/>
    <w:rsid w:val="0FB365B0"/>
    <w:rsid w:val="10332216"/>
    <w:rsid w:val="10362C68"/>
    <w:rsid w:val="10C77FA2"/>
    <w:rsid w:val="1191661B"/>
    <w:rsid w:val="1250459A"/>
    <w:rsid w:val="127E405F"/>
    <w:rsid w:val="14EB154F"/>
    <w:rsid w:val="15937232"/>
    <w:rsid w:val="16AA6239"/>
    <w:rsid w:val="170E1A3A"/>
    <w:rsid w:val="17A96751"/>
    <w:rsid w:val="17AC6144"/>
    <w:rsid w:val="19B723A0"/>
    <w:rsid w:val="1ACD5720"/>
    <w:rsid w:val="1AD106A0"/>
    <w:rsid w:val="1C302C76"/>
    <w:rsid w:val="1C827473"/>
    <w:rsid w:val="1CDF62F9"/>
    <w:rsid w:val="1D6B6159"/>
    <w:rsid w:val="1EA2204E"/>
    <w:rsid w:val="1EE61E60"/>
    <w:rsid w:val="1F0F015E"/>
    <w:rsid w:val="20854097"/>
    <w:rsid w:val="210070C5"/>
    <w:rsid w:val="226C3544"/>
    <w:rsid w:val="23D0028D"/>
    <w:rsid w:val="24DC4B4F"/>
    <w:rsid w:val="251E54C0"/>
    <w:rsid w:val="26393298"/>
    <w:rsid w:val="269C55D5"/>
    <w:rsid w:val="26CF4D42"/>
    <w:rsid w:val="26D23572"/>
    <w:rsid w:val="274A6DDF"/>
    <w:rsid w:val="27982240"/>
    <w:rsid w:val="27C01C76"/>
    <w:rsid w:val="27DB1309"/>
    <w:rsid w:val="28954CBC"/>
    <w:rsid w:val="28DA2248"/>
    <w:rsid w:val="29B0091D"/>
    <w:rsid w:val="29B667B7"/>
    <w:rsid w:val="2C3A1B18"/>
    <w:rsid w:val="2C4464F3"/>
    <w:rsid w:val="2CDB6DF8"/>
    <w:rsid w:val="2D5026F5"/>
    <w:rsid w:val="2D9E0D25"/>
    <w:rsid w:val="2DB41456"/>
    <w:rsid w:val="2E0D14F8"/>
    <w:rsid w:val="2EBA62D8"/>
    <w:rsid w:val="2F8F3F29"/>
    <w:rsid w:val="311A2112"/>
    <w:rsid w:val="32195D2C"/>
    <w:rsid w:val="32866EDC"/>
    <w:rsid w:val="33E36E9A"/>
    <w:rsid w:val="352C3B02"/>
    <w:rsid w:val="36056CF3"/>
    <w:rsid w:val="36AB3E1C"/>
    <w:rsid w:val="37D70900"/>
    <w:rsid w:val="382316B2"/>
    <w:rsid w:val="38886A90"/>
    <w:rsid w:val="38C5282D"/>
    <w:rsid w:val="38CB08B0"/>
    <w:rsid w:val="38DE52FB"/>
    <w:rsid w:val="39A14F85"/>
    <w:rsid w:val="3A6A7A6C"/>
    <w:rsid w:val="3B9E6A19"/>
    <w:rsid w:val="3C644522"/>
    <w:rsid w:val="3C6F3118"/>
    <w:rsid w:val="3D1B6DFC"/>
    <w:rsid w:val="3DF37171"/>
    <w:rsid w:val="3E0A0392"/>
    <w:rsid w:val="3E0B71A4"/>
    <w:rsid w:val="3E263CAA"/>
    <w:rsid w:val="3E4205EB"/>
    <w:rsid w:val="3E977202"/>
    <w:rsid w:val="3EBA2645"/>
    <w:rsid w:val="3F2E2B8E"/>
    <w:rsid w:val="3F376FE5"/>
    <w:rsid w:val="3F776B48"/>
    <w:rsid w:val="40CF292B"/>
    <w:rsid w:val="412A2779"/>
    <w:rsid w:val="42781A2C"/>
    <w:rsid w:val="430F11B1"/>
    <w:rsid w:val="437002E0"/>
    <w:rsid w:val="44004F9E"/>
    <w:rsid w:val="472112DD"/>
    <w:rsid w:val="482D18DC"/>
    <w:rsid w:val="48604BF0"/>
    <w:rsid w:val="48D507A7"/>
    <w:rsid w:val="4963074A"/>
    <w:rsid w:val="49821B5D"/>
    <w:rsid w:val="49A60712"/>
    <w:rsid w:val="4A354F64"/>
    <w:rsid w:val="4AD36F68"/>
    <w:rsid w:val="4B0809E8"/>
    <w:rsid w:val="4C5359B3"/>
    <w:rsid w:val="4C947BAF"/>
    <w:rsid w:val="4D1D452D"/>
    <w:rsid w:val="4D3E7B7A"/>
    <w:rsid w:val="4D721EA3"/>
    <w:rsid w:val="4E1C794E"/>
    <w:rsid w:val="4E823815"/>
    <w:rsid w:val="4F676F3B"/>
    <w:rsid w:val="4FA33383"/>
    <w:rsid w:val="4FCA5E3F"/>
    <w:rsid w:val="4FE439C5"/>
    <w:rsid w:val="5018702D"/>
    <w:rsid w:val="518024FB"/>
    <w:rsid w:val="518D741E"/>
    <w:rsid w:val="52065E75"/>
    <w:rsid w:val="525B20BC"/>
    <w:rsid w:val="526950A0"/>
    <w:rsid w:val="52940917"/>
    <w:rsid w:val="52E948CD"/>
    <w:rsid w:val="54042259"/>
    <w:rsid w:val="54320A3F"/>
    <w:rsid w:val="54B10E12"/>
    <w:rsid w:val="55932642"/>
    <w:rsid w:val="55B60508"/>
    <w:rsid w:val="55DC290C"/>
    <w:rsid w:val="560F0DC8"/>
    <w:rsid w:val="56183E39"/>
    <w:rsid w:val="56A41D02"/>
    <w:rsid w:val="56DE703B"/>
    <w:rsid w:val="57A162DF"/>
    <w:rsid w:val="580E2671"/>
    <w:rsid w:val="58D354A2"/>
    <w:rsid w:val="5A7A7400"/>
    <w:rsid w:val="5A846733"/>
    <w:rsid w:val="5BBE0092"/>
    <w:rsid w:val="5C25405E"/>
    <w:rsid w:val="5CBA37D5"/>
    <w:rsid w:val="5D0306B5"/>
    <w:rsid w:val="5D3959B1"/>
    <w:rsid w:val="5D416546"/>
    <w:rsid w:val="5D7150BF"/>
    <w:rsid w:val="5D840D7A"/>
    <w:rsid w:val="5DCE72BA"/>
    <w:rsid w:val="5E7E0175"/>
    <w:rsid w:val="5EA362A4"/>
    <w:rsid w:val="5FEA0810"/>
    <w:rsid w:val="607D5554"/>
    <w:rsid w:val="60F31CBA"/>
    <w:rsid w:val="61DA03D4"/>
    <w:rsid w:val="63A97FAA"/>
    <w:rsid w:val="63E35397"/>
    <w:rsid w:val="65CD3049"/>
    <w:rsid w:val="65F27086"/>
    <w:rsid w:val="66D460EA"/>
    <w:rsid w:val="675C781B"/>
    <w:rsid w:val="678464EC"/>
    <w:rsid w:val="68555008"/>
    <w:rsid w:val="69C46485"/>
    <w:rsid w:val="6AAA4EEE"/>
    <w:rsid w:val="6B8F10C1"/>
    <w:rsid w:val="6CB73B9C"/>
    <w:rsid w:val="6DAA1953"/>
    <w:rsid w:val="6DE81813"/>
    <w:rsid w:val="6E76487D"/>
    <w:rsid w:val="6EB23777"/>
    <w:rsid w:val="6EBF6895"/>
    <w:rsid w:val="6EEE10AB"/>
    <w:rsid w:val="6F3434A8"/>
    <w:rsid w:val="70E143A6"/>
    <w:rsid w:val="7198729D"/>
    <w:rsid w:val="73C0113A"/>
    <w:rsid w:val="740B6B46"/>
    <w:rsid w:val="750B746A"/>
    <w:rsid w:val="75581C94"/>
    <w:rsid w:val="75AB0949"/>
    <w:rsid w:val="766D3B19"/>
    <w:rsid w:val="7699779A"/>
    <w:rsid w:val="78172EC5"/>
    <w:rsid w:val="79406591"/>
    <w:rsid w:val="79BD31CC"/>
    <w:rsid w:val="79E955B1"/>
    <w:rsid w:val="7A1F7224"/>
    <w:rsid w:val="7A3B6F3F"/>
    <w:rsid w:val="7A827AC1"/>
    <w:rsid w:val="7B1805FB"/>
    <w:rsid w:val="7B560B15"/>
    <w:rsid w:val="7B5D6256"/>
    <w:rsid w:val="7C386655"/>
    <w:rsid w:val="7CF404F4"/>
    <w:rsid w:val="7DD343E5"/>
    <w:rsid w:val="7DEA1C21"/>
    <w:rsid w:val="7EC81B50"/>
    <w:rsid w:val="7ED22AB7"/>
    <w:rsid w:val="7F653D50"/>
    <w:rsid w:val="7FC9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qFormat/>
    <w:uiPriority w:val="0"/>
    <w:rPr>
      <w:b/>
    </w:rPr>
  </w:style>
  <w:style w:type="paragraph" w:customStyle="1" w:styleId="11">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2">
    <w:name w:val="font21"/>
    <w:basedOn w:val="9"/>
    <w:qFormat/>
    <w:uiPriority w:val="0"/>
    <w:rPr>
      <w:rFonts w:hint="eastAsia" w:ascii="宋体" w:hAnsi="宋体" w:eastAsia="宋体" w:cs="宋体"/>
      <w:b/>
      <w:bCs/>
      <w:color w:val="000000"/>
      <w:sz w:val="24"/>
      <w:szCs w:val="24"/>
      <w:u w:val="none"/>
    </w:rPr>
  </w:style>
  <w:style w:type="character" w:customStyle="1" w:styleId="13">
    <w:name w:val="font41"/>
    <w:basedOn w:val="9"/>
    <w:qFormat/>
    <w:uiPriority w:val="0"/>
    <w:rPr>
      <w:rFonts w:hint="eastAsia" w:ascii="宋体" w:hAnsi="宋体" w:eastAsia="宋体" w:cs="宋体"/>
      <w:b/>
      <w:bCs/>
      <w:color w:val="000000"/>
      <w:sz w:val="24"/>
      <w:szCs w:val="24"/>
      <w:u w:val="single"/>
    </w:rPr>
  </w:style>
  <w:style w:type="paragraph" w:customStyle="1" w:styleId="14">
    <w:name w:val="索引 11"/>
    <w:basedOn w:val="1"/>
    <w:next w:val="1"/>
    <w:qFormat/>
    <w:uiPriority w:val="0"/>
    <w:pPr>
      <w:spacing w:line="360" w:lineRule="auto"/>
    </w:pPr>
    <w:rPr>
      <w:rFonts w:ascii="仿宋_GB2312" w:eastAsia="仿宋_GB2312"/>
      <w:sz w:val="24"/>
      <w:szCs w:val="20"/>
    </w:rPr>
  </w:style>
  <w:style w:type="character" w:customStyle="1" w:styleId="15">
    <w:name w:val="font31"/>
    <w:basedOn w:val="9"/>
    <w:qFormat/>
    <w:uiPriority w:val="0"/>
    <w:rPr>
      <w:rFonts w:hint="eastAsia" w:ascii="宋体" w:hAnsi="宋体" w:eastAsia="宋体" w:cs="宋体"/>
      <w:b/>
      <w:bCs/>
      <w:color w:val="000000"/>
      <w:sz w:val="24"/>
      <w:szCs w:val="24"/>
      <w:u w:val="none"/>
    </w:rPr>
  </w:style>
  <w:style w:type="paragraph" w:customStyle="1" w:styleId="16">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17">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18">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9dbcead4-560d-4a3f-865f-0dd2b36b93d8</errorID>
      <errorWord>计算</errorWord>
      <group>L1_Punc</group>
      <groupName>标点问题</groupName>
      <ability>L2_Punc_CN</ability>
      <abilityName>标点符号问题</abilityName>
      <candidateList>
        <item>：计算</item>
      </candidateList>
      <explain/>
      <paraID> B44E938</paraID>
      <start>47</start>
      <end>49</end>
      <status>unmodified</status>
      <modifiedWord/>
      <trackRevisions>false</trackRevisions>
    </reviewItem>
    <reviewItem>
      <errorID>2c34abcc-78e0-440c-ad22-614e85dadcd9</errorID>
      <errorWord>为</errorWord>
      <group>L1_Word</group>
      <groupName>字词问题</groupName>
      <ability>L2_Typo</ability>
      <abilityName>字词错误</abilityName>
      <candidateList>
        <item>作为</item>
      </candidateList>
      <explain/>
      <paraID> B44E938</paraID>
      <start>55</start>
      <end>56</end>
      <status>unmodified</status>
      <modifiedWord/>
      <trackRevisions>false</trackRevisions>
    </reviewItem>
    <reviewItem>
      <errorID>48aed521-5066-49ca-a835-46d5bcbb47f5</errorID>
      <errorWord>,</errorWord>
      <group>L1_Format</group>
      <groupName>格式问题</groupName>
      <ability>L2_HalfPunc_CN</ability>
      <abilityName>全半角问题</abilityName>
      <candidateList>
        <item>，</item>
      </candidateList>
      <explain>文本全半角错误。</explain>
      <paraID> B44E938</paraID>
      <start>79</start>
      <end>80</end>
      <status>unmodified</status>
      <modifiedWord/>
      <trackRevisions>false</trackRevisions>
    </reviewItem>
    <reviewItem>
      <errorID>ebca66fb-b9d7-45e1-8dc3-1d31c5cee314</errorID>
      <errorWord>F1=报价得分按照低价优先法计算</errorWord>
      <group>L1_Other</group>
      <groupName>其他问题</groupName>
      <ability>L2_Consistency</ability>
      <abilityName>一致性检查</abilityName>
      <candidateList>
        <item>报价得分按照低价优先法计算</item>
      </candidateList>
      <explain>术语一致性错误，前文已约定综合得分=F1+F2+F3，F1为价格部分得分，此处误将价格部分得分公式写为F1=，与前文的符号定义不一致，建议删除多余的F1=</explain>
      <paraID>3DC7C070</paraID>
      <start>0</start>
      <end>16</end>
      <status>unmodified</status>
      <modifiedWord/>
      <trackRevisions>false</trackRevisions>
    </reviewItem>
    <reviewItem>
      <errorID>fd1250c4-25e2-4dd1-b45e-604276dae67f</errorID>
      <errorWord>识</errorWord>
      <group>L1_Word</group>
      <groupName>字词问题</groupName>
      <ability>L2_Typo</ability>
      <abilityName>字词错误</abilityName>
      <candidateList>
        <item>识和</item>
      </candidateList>
      <explain/>
      <paraID>38E4EB50</paraID>
      <start>87</start>
      <end>88</end>
      <status>unmodified</status>
      <modifiedWord/>
      <trackRevisions>false</trackRevisions>
    </reviewItem>
    <reviewItem>
      <errorID>3639d16b-0195-4fa3-85fd-ae13b002f5fe</errorID>
      <errorWord>识</errorWord>
      <group>L1_Word</group>
      <groupName>字词问题</groupName>
      <ability>L2_Typo</ability>
      <abilityName>字词错误</abilityName>
      <candidateList>
        <item>识和</item>
      </candidateList>
      <explain/>
      <paraID>3FFF8F3E</paraID>
      <start>54</start>
      <end>55</end>
      <status>unmodified</status>
      <modifiedWord/>
      <trackRevisions>false</trackRevisions>
    </reviewItem>
    <reviewItem>
      <errorID>0a5cfeba-50eb-445c-94e6-3df2e2bcb9d3</errorID>
      <errorWord>或</errorWord>
      <group>L1_Word</group>
      <groupName>字词问题</groupName>
      <ability>L2_Typo</ability>
      <abilityName>字词错误</abilityName>
      <candidateList>
        <item>且</item>
      </candidateList>
      <explain/>
      <paraID>3FFF8F3E</paraID>
      <start>117</start>
      <end>118</end>
      <status>unmodified</status>
      <modifiedWord/>
      <trackRevisions>false</trackRevisions>
    </reviewItem>
    <reviewItem>
      <errorID>9ab7b675-ce47-49f1-90eb-6ee02dc33cb5</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6B5C976A</paraID>
      <start>56</start>
      <end>58</end>
      <status>unmodified</status>
      <modifiedWord/>
      <trackRevisions>false</trackRevisions>
    </reviewItem>
  </reviewItems>
  <config/>
</contractReview>
</file>

<file path=customXml/itemProps1.xml><?xml version="1.0" encoding="utf-8"?>
<ds:datastoreItem xmlns:ds="http://schemas.openxmlformats.org/officeDocument/2006/customXml" ds:itemID="{f1eb3823-72da-4baa-b9c5-6646b65bf021}">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1594</Words>
  <Characters>1633</Characters>
  <Lines>0</Lines>
  <Paragraphs>0</Paragraphs>
  <TotalTime>8</TotalTime>
  <ScaleCrop>false</ScaleCrop>
  <LinksUpToDate>false</LinksUpToDate>
  <CharactersWithSpaces>1638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2026-07-17T09:07:00Z</cp:lastPrinted>
  <dcterms:modified xsi:type="dcterms:W3CDTF">2026-07-23T10:19:39Z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78676379F49E4E15880898FFFDA3F693_12</vt:lpwstr>
  </property>
  <property fmtid="{D5CDD505-2E9C-101B-9397-08002B2CF9AE}" pid="4" name="KSOTemplateDocerSaveRecord">
    <vt:lpwstr>eyJoZGlkIjoiM2MzZWFhM2M2NTVkYzMzYzBkYzBmYjhkMjI5MWM3MjEiLCJ1c2VySWQiOiI1MjM4MzE1NjEifQ==</vt:lpwstr>
  </property>
</Properties>
</file>