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  <w:lang w:val="en-US" w:eastAsia="zh-CN"/>
        </w:rPr>
        <w:t>勐海县人民医院固定资产盘点服务项目</w:t>
      </w: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</w:rPr>
        <w:t>采购需求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eastAsia="zh-CN"/>
        </w:rPr>
        <w:t>一、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 xml:space="preserve">清查范围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（一）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截至202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年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月3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日，医院本级所有固定资产（含账内外资产、在用/闲置/待报废资产）。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（二）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资产类型涵盖医疗设备、办公家具、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通用设备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等（预估原值约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xx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万元，参考类似单位资产规模）。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eastAsia="zh-CN"/>
        </w:rPr>
        <w:t>二、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</w:rPr>
        <w:t xml:space="preserve">核心服务内容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（一）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全面清查：逐件资产实地盘点，核实使用状态、存放地点及责任人，确保账实相符；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 （二）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标签化管理：对资产贴标，建立唯一电子标识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（三）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系统对接：盘点数据需兼容医院现有用友固定资产管理系统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及一体化平台系统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；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 xml:space="preserve"> （四）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报告交付：出具资产清查报告（含盘盈盘亏分析、报废处置建议）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eastAsia="zh-CN"/>
        </w:rPr>
        <w:t>工作标准及要求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（一）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制定清查方案充分了解我院固定资产现状情况，制定固定资产清查核实方案；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（二）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进行固定资产全面盘点1.进行固定资产全面盘点，盘点过程要求详细登记固定资产的使用部门、使用人、规格型号、存续状态等要素。2.认定固定资产的归属，杜绝漏登记及虚增、重复登记固定资产情形。3.做好应报废资产的登记工作。4.根据盘点内容形成准确的实物盘点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（三）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固定资产账实核对1.根据盘点结果与固定资产信息平台系统明细账核对，将每件固定资产实物与固定资产信息平台系统明细账对号入座，实现账实相符。2.通过账实核对形成账实相符固定资产、有账无物固定资产及有物无账固定资产。3.落实每件固定资产的使用部门、使用人、规格型号、存放地点等相关信息。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核对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用友固定资产管理系统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及一体化平台系统累计折旧数据一致性；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（四）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出具专项审计报告详细填报账实相符固定资产清册、有物无账固定资产清册、有账无物固定资产清册、应报废固定资产清册，出具相应的专项审计报告；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（五）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根据盘点结果，制作资产标签，粘贴在实物资产上；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480" w:firstLineChars="200"/>
        <w:textAlignment w:val="auto"/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（六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4"/>
          <w:szCs w:val="24"/>
          <w:lang w:eastAsia="zh-CN"/>
        </w:rPr>
        <w:t>）完成盘盈、盘亏、报废资产处置及账务处理相关工作，做到账账相符、账实相符。</w:t>
      </w:r>
    </w:p>
    <w:p>
      <w:pPr>
        <w:rPr>
          <w:rFonts w:hint="eastAsia" w:ascii="方正仿宋_GB2312" w:hAnsi="方正仿宋_GB2312" w:eastAsia="方正仿宋_GB2312" w:cs="方正仿宋_GB2312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59F6A5A-C290-49AD-B8CB-9F6FEC029E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9F3C9CA-F54D-45A0-AA0E-06FF66D31D4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DEBD197-BF50-498E-AE1B-33E8AB87D2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5YmQ3NDE3Y2YyODdlYWI0MGM0MjE3MjAxMjgwOTcifQ=="/>
  </w:docVars>
  <w:rsids>
    <w:rsidRoot w:val="60677017"/>
    <w:rsid w:val="0649173E"/>
    <w:rsid w:val="25C26B32"/>
    <w:rsid w:val="2B9D6E26"/>
    <w:rsid w:val="417E1C6E"/>
    <w:rsid w:val="4D4E55B5"/>
    <w:rsid w:val="543D009D"/>
    <w:rsid w:val="58D04AE7"/>
    <w:rsid w:val="5C544FE4"/>
    <w:rsid w:val="60677017"/>
    <w:rsid w:val="64EA6F30"/>
    <w:rsid w:val="7E55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utoSpaceDE w:val="0"/>
      <w:autoSpaceDN w:val="0"/>
      <w:adjustRightInd w:val="0"/>
      <w:jc w:val="left"/>
      <w:outlineLvl w:val="0"/>
    </w:pPr>
    <w:rPr>
      <w:rFonts w:ascii="仿宋_GB2312" w:eastAsia="仿宋_GB2312"/>
      <w:b/>
      <w:bCs/>
      <w:color w:val="000000"/>
      <w:kern w:val="0"/>
      <w:sz w:val="28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835</Words>
  <Characters>849</Characters>
  <Lines>0</Lines>
  <Paragraphs>0</Paragraphs>
  <TotalTime>16</TotalTime>
  <ScaleCrop>false</ScaleCrop>
  <LinksUpToDate>false</LinksUpToDate>
  <CharactersWithSpaces>872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2025-08-12T02:20:00Z</dcterms:created>
  <dc:creator>  巴黎海岸的小镇 。 </dc:creator>
  <cp:lastModifiedBy>  巴黎海岸的小镇 。 </cp:lastModifiedBy>
  <dcterms:modified xsi:type="dcterms:W3CDTF">2025-09-05T03:16:27Z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01011E123F1C4CC5A0BFBF7BB4DB31A4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