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3F5C61">
      <w:pPr>
        <w:pStyle w:val="2"/>
        <w:bidi w:val="0"/>
        <w:jc w:val="center"/>
        <w:rPr>
          <w:rFonts w:hint="eastAsia"/>
        </w:rPr>
      </w:pPr>
      <w:r>
        <w:rPr>
          <w:rFonts w:hint="eastAsia"/>
        </w:rPr>
        <w:t>电子胃肠镜</w:t>
      </w:r>
      <w:r>
        <w:rPr>
          <w:rFonts w:hint="eastAsia"/>
          <w:lang w:eastAsia="zh-CN"/>
        </w:rPr>
        <w:t>征询需求</w:t>
      </w:r>
    </w:p>
    <w:p w14:paraId="6E136BE9">
      <w:pP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一、核心模块组成</w:t>
      </w:r>
    </w:p>
    <w:p w14:paraId="5D8C192C">
      <w:pP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1. 主机系统</w:t>
      </w:r>
    </w:p>
    <w:p w14:paraId="27172140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光源模块  </w:t>
      </w:r>
    </w:p>
    <w:p w14:paraId="5F228884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  高亮度LED或氙灯光源：提供稳定、高强度的照明，确保腔内视野清晰。  </w:t>
      </w:r>
    </w:p>
    <w:p w14:paraId="6EBD6928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  自动亮度调节：根据镜头距离和黏膜反射光强度自适应调节亮度，避免过曝或昏暗。  </w:t>
      </w:r>
    </w:p>
    <w:p w14:paraId="16000B61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图像处理模块  </w:t>
      </w:r>
    </w:p>
    <w:p w14:paraId="62FE9477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  高清图像处理器：支持高分辨率（如1080P、4K）图像采集与实时处理。  </w:t>
      </w:r>
    </w:p>
    <w:p w14:paraId="633B472C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  图像增强技术：如NBI（窄带成像）、FICE（电子染色）、LCI（联动成像）等，提升病变识别率。  </w:t>
      </w:r>
    </w:p>
    <w:p w14:paraId="0836E364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显示模块  </w:t>
      </w:r>
    </w:p>
    <w:p w14:paraId="39B9D503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  高清显示屏（≥19英寸）：实时显示内镜影像，支持多画面分屏（如白光+染色模式对比）。  </w:t>
      </w:r>
    </w:p>
    <w:p w14:paraId="0E731794">
      <w:pP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二、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内镜镜体</w:t>
      </w:r>
    </w:p>
    <w:p w14:paraId="70CD9959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插入部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超细软镜设计：减少患者不适（胃镜直径通常≤9.8mm，肠镜≤13mm）。  </w:t>
      </w:r>
    </w:p>
    <w:p w14:paraId="3CF5D4E4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多方向弯曲控制：头端可上下/左右弯曲（胃镜弯曲角度≥180°，肠镜≥180°），便于通过复杂腔道。  </w:t>
      </w:r>
    </w:p>
    <w:p w14:paraId="6FF415EE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49A0824B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操作部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 </w:t>
      </w:r>
    </w:p>
    <w:p w14:paraId="5667BF76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器械通道：标准通道（≥2.8mm）用于活检钳、注射针等器械通过。  </w:t>
      </w:r>
    </w:p>
    <w:p w14:paraId="2DBBD9B2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 注水/注气按钮：冲洗镜头或扩张腔道。  </w:t>
      </w:r>
    </w:p>
    <w:p w14:paraId="37D769A5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先端部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 </w:t>
      </w:r>
    </w:p>
    <w:p w14:paraId="69AC2197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 高清摄像头：CCD或CMOS传感器，广角视野（≥140°），支持高倍数光学放大。  </w:t>
      </w:r>
    </w:p>
    <w:p w14:paraId="3E04BD08">
      <w:pP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 副送水功能：独立喷嘴冲洗镜头，避免因黏液或血液遮挡视野。  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三、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辅助功能模块</w:t>
      </w:r>
    </w:p>
    <w:p w14:paraId="08E56B27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吸引系统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负压吸引装置：快速清除腔内液体、气体或分泌物。 充气系统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自动控压充气：维持腔道适当扩张，避免过度充气导致患者不适。    </w:t>
      </w:r>
    </w:p>
    <w:p w14:paraId="2DFB594A">
      <w:pP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四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、核心功能要求</w:t>
      </w:r>
    </w:p>
    <w:p w14:paraId="03ECE6A9">
      <w:pP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1. 成像与诊断功能</w:t>
      </w:r>
    </w:p>
    <w:p w14:paraId="5F0B4567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高清动态成像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分辨率≥1920×1080，帧率≥30fps，确保实时观察无延迟。  </w:t>
      </w:r>
    </w:p>
    <w:p w14:paraId="4A1B0C92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光学放大（40150倍）：精准观察黏膜微结构（如胃小凹、结肠隐窝）。  </w:t>
      </w:r>
    </w:p>
    <w:p w14:paraId="6C6E986C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多光谱成像  </w:t>
      </w:r>
    </w:p>
    <w:p w14:paraId="0FAC2125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电子染色技术：如NBI（窄带成像）增强血管和黏膜对比，提高早期癌变检出率。  </w:t>
      </w:r>
    </w:p>
    <w:p w14:paraId="0B37FEEE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 激光共聚焦显微内镜（选配）：实现细胞级实时显微成像。  </w:t>
      </w:r>
    </w:p>
    <w:p w14:paraId="1D0A9ED4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图像存储与回放  </w:t>
      </w:r>
    </w:p>
    <w:p w14:paraId="5AF8EBE2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  支持录像、截图存档，标注病灶位置，便于后续复查或教学。  </w:t>
      </w:r>
    </w:p>
    <w:p w14:paraId="667A30D7">
      <w:pP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4.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治疗与操作功能</w:t>
      </w:r>
    </w:p>
    <w:p w14:paraId="7F03D5D5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活检与治疗通道  </w:t>
      </w:r>
    </w:p>
    <w:p w14:paraId="41918BE7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兼容多种器械：活检钳、圈套器、止血夹、注射针等。  </w:t>
      </w:r>
    </w:p>
    <w:p w14:paraId="21CE3166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快速更换设计：减少操作中断时间。  </w:t>
      </w:r>
    </w:p>
    <w:p w14:paraId="09793D76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5.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镜下治疗支持  </w:t>
      </w:r>
    </w:p>
    <w:p w14:paraId="7827A711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  黏膜下注射：标记或抬举病灶。  </w:t>
      </w:r>
    </w:p>
    <w:p w14:paraId="4B3CE00C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  EMR（黏膜切除术）/ESD（黏膜下剥离术）：需配合高频电刀和专用器械。  </w:t>
      </w:r>
    </w:p>
    <w:p w14:paraId="68BE33CD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6.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冲洗与清洁  </w:t>
      </w:r>
    </w:p>
    <w:p w14:paraId="4916863B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 集成注水/注气功能，术中快速清洁镜头或冲洗创面。  </w:t>
      </w:r>
    </w:p>
    <w:p w14:paraId="502609C9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7.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感染控制设计  </w:t>
      </w:r>
    </w:p>
    <w:p w14:paraId="3FCD07B6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防水密封结构：镜体可浸泡消毒（符合IPX7标准）。  </w:t>
      </w:r>
    </w:p>
    <w:p w14:paraId="4B6C7953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自动清洗消毒装置（兼容）：确保内镜彻底灭菌（如过氧乙酸或戊二醛消毒流程）。  </w:t>
      </w:r>
    </w:p>
    <w:p w14:paraId="2E9A6EA9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8.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操作安全性  </w:t>
      </w:r>
    </w:p>
    <w:p w14:paraId="4A2261E8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  过载保护：吸引或充气压力超限时自动停止，避免穿孔风险。  </w:t>
      </w:r>
    </w:p>
    <w:p w14:paraId="500200EF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  软镜头端保护：避免过度弯曲损伤镜体。  </w:t>
      </w:r>
    </w:p>
    <w:p w14:paraId="47027091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9.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患者舒适优化  </w:t>
      </w:r>
    </w:p>
    <w:p w14:paraId="0420E50B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  镜体润滑涂层：减少插入阻力。  </w:t>
      </w:r>
    </w:p>
    <w:p w14:paraId="1C16029E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  镇静支持接口：兼容监护设备，实时监测生命体征（如血氧、心率）。  </w:t>
      </w:r>
    </w:p>
    <w:p w14:paraId="27876540">
      <w:pP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10.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智能化与扩展功能</w:t>
      </w:r>
    </w:p>
    <w:p w14:paraId="1717A37C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AI辅助诊断  </w:t>
      </w:r>
    </w:p>
    <w:p w14:paraId="0B3BA046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  实时AI分析：自动标记可疑病灶（如息肉、溃疡、早癌），减少漏诊。  </w:t>
      </w:r>
    </w:p>
    <w:p w14:paraId="309471C4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  病理图像比对：与数据库联动，提供相似病例参考。  </w:t>
      </w:r>
    </w:p>
    <w:p w14:paraId="1FBEDC8F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11.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数据管理  </w:t>
      </w:r>
    </w:p>
    <w:p w14:paraId="71B2D260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  DICOM兼容：与医院PACS系统对接，传输影像和报告。  </w:t>
      </w:r>
    </w:p>
    <w:p w14:paraId="73B1645F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  云存储与远程会诊：支持多端访问诊疗数据。  </w:t>
      </w:r>
    </w:p>
    <w:p w14:paraId="1C1B155E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12.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3D成像（高端配置）  </w:t>
      </w:r>
    </w:p>
    <w:p w14:paraId="0F8B9FC5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  重建腔道三维结构，辅助复杂手术规划（如肿瘤定位）。  </w:t>
      </w:r>
    </w:p>
    <w:p w14:paraId="1C1E50FD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13.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超声内镜（EUS）模块：集成超声探头，评估深层组织或淋巴结。  </w:t>
      </w:r>
    </w:p>
    <w:p w14:paraId="68230265">
      <w:pPr>
        <w:numPr>
          <w:ilvl w:val="0"/>
          <w:numId w:val="1"/>
        </w:numP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其他</w:t>
      </w:r>
    </w:p>
    <w:p w14:paraId="0CCE8599">
      <w:pPr>
        <w:numPr>
          <w:ilvl w:val="0"/>
          <w:numId w:val="2"/>
        </w:num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相关产品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需符合医疗器械注册证（如中国NMPA、美国FDA、欧盟CE）。  </w:t>
      </w:r>
    </w:p>
    <w:p w14:paraId="17DBCB71">
      <w:pPr>
        <w:numPr>
          <w:ilvl w:val="0"/>
          <w:numId w:val="2"/>
        </w:num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相关产品资质齐全，诊疗范围明确。</w:t>
      </w:r>
    </w:p>
    <w:p w14:paraId="004A9783">
      <w:pPr>
        <w:numPr>
          <w:ilvl w:val="0"/>
          <w:numId w:val="2"/>
        </w:num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以上需求仅供参考，响应征询时可拓展搭配相关模块。</w:t>
      </w:r>
    </w:p>
    <w:p w14:paraId="5EFE4018">
      <w:pPr>
        <w:numPr>
          <w:ilvl w:val="0"/>
          <w:numId w:val="2"/>
        </w:num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提供样机试用不低于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3个月。</w:t>
      </w:r>
    </w:p>
    <w:p w14:paraId="0579DA14">
      <w:pPr>
        <w:numPr>
          <w:numId w:val="0"/>
        </w:numPr>
        <w:rPr>
          <w:rFonts w:hint="default" w:ascii="方正仿宋_GB2312" w:hAnsi="方正仿宋_GB2312" w:eastAsia="方正仿宋_GB2312" w:cs="方正仿宋_GB2312"/>
          <w:sz w:val="30"/>
          <w:szCs w:val="30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9FE79E4E-6D0F-44C5-B7E7-4142CC09D11C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70AD13"/>
    <w:multiLevelType w:val="singleLevel"/>
    <w:tmpl w:val="FB70AD1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7D03F360"/>
    <w:multiLevelType w:val="singleLevel"/>
    <w:tmpl w:val="7D03F360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2726E2"/>
    <w:rsid w:val="46582241"/>
    <w:rsid w:val="72272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1179</Words>
  <Characters>1281</Characters>
  <Lines>0</Lines>
  <Paragraphs>0</Paragraphs>
  <TotalTime>4</TotalTime>
  <ScaleCrop>false</ScaleCrop>
  <LinksUpToDate>false</LinksUpToDate>
  <CharactersWithSpaces>1471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2025-05-09T09:50:00Z</dcterms:created>
  <dc:creator>鹿鹿雪</dc:creator>
  <cp:lastModifiedBy>鹿鹿雪</cp:lastModifiedBy>
  <dcterms:modified xsi:type="dcterms:W3CDTF">2025-05-09T10:05:23Z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930752C90C8043C0871E3E2E1DA6ECEA_11</vt:lpwstr>
  </property>
  <property fmtid="{D5CDD505-2E9C-101B-9397-08002B2CF9AE}" pid="4" name="KSOTemplateDocerSaveRecord">
    <vt:lpwstr>eyJoZGlkIjoiMWVlOGM5ZTQ1MDFjNjNmM2Y5MmRkZDhlODEyMTQyZWUiLCJ1c2VySWQiOiIzNTI5OTYyMzUifQ==</vt:lpwstr>
  </property>
</Properties>
</file>