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D0AD2">
      <w:pPr>
        <w:pStyle w:val="2"/>
        <w:numPr>
          <w:numId w:val="0"/>
        </w:numPr>
        <w:bidi w:val="0"/>
        <w:jc w:val="center"/>
        <w:rPr>
          <w:rFonts w:hint="eastAsia" w:ascii="宋体" w:hAnsi="宋体" w:eastAsia="宋体" w:cs="宋体"/>
          <w:sz w:val="36"/>
          <w:szCs w:val="36"/>
          <w:lang w:val="en-US" w:eastAsia="zh-CN"/>
        </w:rPr>
      </w:pPr>
      <w:bookmarkStart w:id="0" w:name="_Toc924"/>
      <w:bookmarkStart w:id="1" w:name="_Toc5112"/>
      <w:r>
        <w:rPr>
          <w:rFonts w:hint="eastAsia" w:ascii="宋体" w:hAnsi="宋体" w:eastAsia="宋体" w:cs="宋体"/>
          <w:sz w:val="36"/>
          <w:szCs w:val="36"/>
          <w:lang w:val="en-US" w:eastAsia="zh-CN"/>
        </w:rPr>
        <w:t>勐海县人民医院肿瘤防治中心</w:t>
      </w:r>
      <w:bookmarkStart w:id="2" w:name="_Toc2008"/>
      <w:bookmarkStart w:id="3" w:name="_Toc24166"/>
      <w:bookmarkStart w:id="4" w:name="_Toc25087"/>
      <w:bookmarkStart w:id="5" w:name="_Toc19582"/>
      <w:bookmarkStart w:id="6" w:name="_Toc2153"/>
      <w:bookmarkStart w:id="7" w:name="_Toc25769"/>
      <w:bookmarkStart w:id="8" w:name="_Toc24310"/>
      <w:r>
        <w:rPr>
          <w:rFonts w:hint="eastAsia" w:ascii="宋体" w:hAnsi="宋体" w:eastAsia="宋体" w:cs="宋体"/>
          <w:sz w:val="36"/>
          <w:szCs w:val="36"/>
          <w:lang w:val="en-US" w:eastAsia="zh-CN"/>
        </w:rPr>
        <w:t>建设</w:t>
      </w:r>
      <w:bookmarkEnd w:id="0"/>
      <w:bookmarkEnd w:id="1"/>
      <w:bookmarkEnd w:id="2"/>
      <w:bookmarkEnd w:id="3"/>
      <w:bookmarkEnd w:id="4"/>
      <w:bookmarkEnd w:id="5"/>
      <w:bookmarkEnd w:id="6"/>
      <w:bookmarkEnd w:id="7"/>
      <w:bookmarkEnd w:id="8"/>
      <w:r>
        <w:rPr>
          <w:rFonts w:hint="eastAsia" w:ascii="宋体" w:hAnsi="宋体" w:eastAsia="宋体" w:cs="宋体"/>
          <w:sz w:val="36"/>
          <w:szCs w:val="36"/>
          <w:lang w:val="en-US" w:eastAsia="zh-CN"/>
        </w:rPr>
        <w:t>方案</w:t>
      </w:r>
    </w:p>
    <w:p w14:paraId="37723DD8">
      <w:pPr>
        <w:rPr>
          <w:rFonts w:hint="eastAsia" w:ascii="宋体" w:hAnsi="宋体" w:eastAsia="宋体" w:cs="宋体"/>
        </w:rPr>
      </w:pPr>
    </w:p>
    <w:p w14:paraId="5D43DA60">
      <w:pPr>
        <w:pStyle w:val="2"/>
        <w:bidi w:val="0"/>
        <w:rPr>
          <w:rFonts w:hint="eastAsia" w:ascii="宋体" w:hAnsi="宋体" w:eastAsia="宋体" w:cs="宋体"/>
          <w:lang w:val="en-US" w:eastAsia="zh-CN"/>
        </w:rPr>
      </w:pPr>
      <w:bookmarkStart w:id="9" w:name="_Toc20151"/>
      <w:bookmarkStart w:id="10" w:name="_Toc15712"/>
      <w:bookmarkStart w:id="11" w:name="_Toc18885"/>
      <w:bookmarkStart w:id="12" w:name="_Toc1065"/>
      <w:bookmarkStart w:id="13" w:name="_Toc2663"/>
      <w:r>
        <w:rPr>
          <w:rFonts w:hint="eastAsia" w:ascii="宋体" w:hAnsi="宋体" w:eastAsia="宋体" w:cs="宋体"/>
          <w:lang w:val="en-US" w:eastAsia="zh-CN"/>
        </w:rPr>
        <w:t>项目背景</w:t>
      </w:r>
      <w:bookmarkEnd w:id="9"/>
      <w:bookmarkEnd w:id="10"/>
      <w:bookmarkEnd w:id="11"/>
      <w:bookmarkEnd w:id="12"/>
    </w:p>
    <w:p w14:paraId="66F5EE79">
      <w:pPr>
        <w:bidi w:val="0"/>
        <w:ind w:firstLine="560" w:firstLineChars="200"/>
        <w:rPr>
          <w:rFonts w:hint="eastAsia" w:ascii="宋体" w:hAnsi="宋体" w:eastAsia="宋体" w:cs="宋体"/>
        </w:rPr>
      </w:pPr>
      <w:r>
        <w:rPr>
          <w:rFonts w:hint="eastAsia" w:ascii="宋体" w:hAnsi="宋体" w:eastAsia="宋体" w:cs="宋体"/>
          <w:lang w:val="en-US" w:eastAsia="zh-CN"/>
        </w:rPr>
        <w:t>为深入贯彻落实《“健康中国2030”规划纲要》，《“十四五”国民健康规划》</w:t>
      </w:r>
      <w:r>
        <w:rPr>
          <w:rFonts w:hint="eastAsia" w:ascii="宋体" w:hAnsi="宋体" w:eastAsia="宋体" w:cs="宋体"/>
          <w:lang w:eastAsia="zh-CN"/>
        </w:rPr>
        <w:t>，《健康中国行动—癌症防治行动实施方案（2023—2030年）》，《关于全面推进紧密型县域医疗卫生共同体建设的指导意见》，</w:t>
      </w:r>
      <w:r>
        <w:rPr>
          <w:rFonts w:hint="eastAsia" w:ascii="宋体" w:hAnsi="宋体" w:eastAsia="宋体" w:cs="宋体"/>
          <w:lang w:val="en-US" w:eastAsia="zh-CN"/>
        </w:rPr>
        <w:t>依据《“千县工程”县医院综合能力提升工作方案》、《云南省百县工程提升方案》、《云南省临床服务“五大中心”评审实施细则》等相关文件要求，</w:t>
      </w:r>
      <w:r>
        <w:rPr>
          <w:rFonts w:hint="eastAsia" w:ascii="宋体" w:hAnsi="宋体" w:eastAsia="宋体" w:cs="宋体"/>
          <w:lang w:val="en-US" w:eastAsia="zh-Hans"/>
        </w:rPr>
        <w:t>全面</w:t>
      </w:r>
      <w:r>
        <w:rPr>
          <w:rFonts w:hint="eastAsia" w:ascii="宋体" w:hAnsi="宋体" w:eastAsia="宋体" w:cs="宋体"/>
          <w:lang w:val="en-US" w:eastAsia="zh-CN"/>
        </w:rPr>
        <w:t>提升区域肿瘤防治能力</w:t>
      </w:r>
      <w:r>
        <w:rPr>
          <w:rFonts w:hint="eastAsia" w:ascii="宋体" w:hAnsi="宋体" w:eastAsia="宋体" w:cs="宋体"/>
          <w:lang w:eastAsia="zh-CN"/>
        </w:rPr>
        <w:t>，</w:t>
      </w:r>
      <w:r>
        <w:rPr>
          <w:rFonts w:hint="eastAsia" w:ascii="宋体" w:hAnsi="宋体" w:eastAsia="宋体" w:cs="宋体"/>
          <w:lang w:val="en-US" w:eastAsia="zh-CN"/>
        </w:rPr>
        <w:t>构建县域</w:t>
      </w:r>
      <w:r>
        <w:rPr>
          <w:rFonts w:hint="eastAsia" w:ascii="宋体" w:hAnsi="宋体" w:eastAsia="宋体" w:cs="宋体"/>
          <w:sz w:val="28"/>
          <w:szCs w:val="28"/>
        </w:rPr>
        <w:t>肿瘤</w:t>
      </w:r>
      <w:r>
        <w:rPr>
          <w:rFonts w:hint="eastAsia" w:ascii="宋体" w:hAnsi="宋体" w:eastAsia="宋体" w:cs="宋体"/>
          <w:lang w:val="en-US" w:eastAsia="zh-CN"/>
        </w:rPr>
        <w:t>优质高效的</w:t>
      </w:r>
      <w:r>
        <w:rPr>
          <w:rFonts w:hint="eastAsia" w:ascii="宋体" w:hAnsi="宋体" w:eastAsia="宋体" w:cs="宋体"/>
          <w:sz w:val="28"/>
          <w:szCs w:val="28"/>
        </w:rPr>
        <w:t>“防、筛、治、管、康”一体化服务体系</w:t>
      </w:r>
      <w:r>
        <w:rPr>
          <w:rFonts w:hint="eastAsia" w:ascii="宋体" w:hAnsi="宋体" w:eastAsia="宋体" w:cs="宋体"/>
          <w:lang w:eastAsia="zh-CN"/>
        </w:rPr>
        <w:t>。</w:t>
      </w:r>
    </w:p>
    <w:p w14:paraId="586006ED">
      <w:pPr>
        <w:pStyle w:val="2"/>
        <w:bidi w:val="0"/>
        <w:rPr>
          <w:rFonts w:hint="eastAsia" w:ascii="宋体" w:hAnsi="宋体" w:eastAsia="宋体" w:cs="宋体"/>
        </w:rPr>
      </w:pPr>
      <w:bookmarkStart w:id="14" w:name="_Toc10864"/>
      <w:bookmarkStart w:id="15" w:name="_Toc1972"/>
      <w:r>
        <w:rPr>
          <w:rFonts w:hint="eastAsia" w:ascii="宋体" w:hAnsi="宋体" w:eastAsia="宋体" w:cs="宋体"/>
          <w:lang w:val="en-US" w:eastAsia="zh-CN"/>
        </w:rPr>
        <w:t>项目</w:t>
      </w:r>
      <w:r>
        <w:rPr>
          <w:rFonts w:hint="eastAsia" w:ascii="宋体" w:hAnsi="宋体" w:eastAsia="宋体" w:cs="宋体"/>
        </w:rPr>
        <w:t>建设必要性</w:t>
      </w:r>
      <w:bookmarkEnd w:id="13"/>
      <w:bookmarkEnd w:id="14"/>
      <w:bookmarkEnd w:id="15"/>
    </w:p>
    <w:p w14:paraId="0999D98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近年来，癌症已经成为我国居民的主要死因，恶性肿瘤已成为中国人的头号杀手，严重危害人们的身心健康。党的二十大报告提出“把保障人民健康放在优先发展的战略位置，完善人民健康促进政策”，并对“推进健康中国建设”做出全面部署。为进一步提升县医院综合能力，推进分级诊疗制度建设，国家卫生健康委发布了《“千县工程”县医院综合能力提升工作方案（2021-2025年），明确提出要依托县医院构建肿瘤防治中心在内的临床服务五大中心。依托肿瘤防治中心、慢病管理中心，形成与县域内其他医疗卫生机构的有效联动，开展肿瘤、慢性病的预防、治疗和康复工作，提高医疗服务连续性。</w:t>
      </w:r>
    </w:p>
    <w:p w14:paraId="486A98E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肿瘤防治中心是在“千县工程”背景下，以</w:t>
      </w:r>
      <w:r>
        <w:rPr>
          <w:rFonts w:hint="eastAsia" w:ascii="宋体" w:hAnsi="宋体" w:eastAsia="宋体" w:cs="宋体"/>
          <w:sz w:val="28"/>
          <w:szCs w:val="28"/>
          <w:lang w:val="en-US" w:eastAsia="zh-CN"/>
        </w:rPr>
        <w:t>总</w:t>
      </w:r>
      <w:r>
        <w:rPr>
          <w:rFonts w:hint="eastAsia" w:ascii="宋体" w:hAnsi="宋体" w:eastAsia="宋体" w:cs="宋体"/>
          <w:sz w:val="28"/>
          <w:szCs w:val="28"/>
        </w:rPr>
        <w:t>医院肿瘤科为核心，紧密型县域医共体为平台，发挥龙头作用，加强上下协同，构建辐射</w:t>
      </w:r>
      <w:r>
        <w:rPr>
          <w:rFonts w:hint="eastAsia" w:ascii="宋体" w:hAnsi="宋体" w:eastAsia="宋体" w:cs="宋体"/>
          <w:sz w:val="28"/>
          <w:szCs w:val="28"/>
          <w:lang w:val="en-US" w:eastAsia="zh-CN"/>
        </w:rPr>
        <w:t>区</w:t>
      </w:r>
      <w:r>
        <w:rPr>
          <w:rFonts w:hint="eastAsia" w:ascii="宋体" w:hAnsi="宋体" w:eastAsia="宋体" w:cs="宋体"/>
          <w:sz w:val="28"/>
          <w:szCs w:val="28"/>
        </w:rPr>
        <w:t>域肿瘤防治网络的核心。中心通过体系协同、资源整合、模式创新，全面提升</w:t>
      </w:r>
      <w:r>
        <w:rPr>
          <w:rFonts w:hint="eastAsia" w:ascii="宋体" w:hAnsi="宋体" w:eastAsia="宋体" w:cs="宋体"/>
          <w:sz w:val="28"/>
          <w:szCs w:val="28"/>
          <w:lang w:val="en-US" w:eastAsia="zh-CN"/>
        </w:rPr>
        <w:t>区</w:t>
      </w:r>
      <w:r>
        <w:rPr>
          <w:rFonts w:hint="eastAsia" w:ascii="宋体" w:hAnsi="宋体" w:eastAsia="宋体" w:cs="宋体"/>
          <w:sz w:val="28"/>
          <w:szCs w:val="28"/>
        </w:rPr>
        <w:t>域肿瘤综合防治能力，为</w:t>
      </w:r>
      <w:r>
        <w:rPr>
          <w:rFonts w:hint="eastAsia" w:ascii="宋体" w:hAnsi="宋体" w:eastAsia="宋体" w:cs="宋体"/>
          <w:sz w:val="28"/>
          <w:szCs w:val="28"/>
          <w:lang w:val="en-US" w:eastAsia="zh-CN"/>
        </w:rPr>
        <w:t>区</w:t>
      </w:r>
      <w:r>
        <w:rPr>
          <w:rFonts w:hint="eastAsia" w:ascii="宋体" w:hAnsi="宋体" w:eastAsia="宋体" w:cs="宋体"/>
          <w:sz w:val="28"/>
          <w:szCs w:val="28"/>
        </w:rPr>
        <w:t>域肿瘤患者提供全周期闭环管理，实现肿瘤患者的治疗回流</w:t>
      </w:r>
      <w:r>
        <w:rPr>
          <w:rFonts w:hint="eastAsia" w:ascii="宋体" w:hAnsi="宋体" w:eastAsia="宋体" w:cs="宋体"/>
          <w:sz w:val="28"/>
          <w:szCs w:val="28"/>
          <w:lang w:val="en-US" w:eastAsia="zh-CN"/>
        </w:rPr>
        <w:t>总</w:t>
      </w:r>
      <w:r>
        <w:rPr>
          <w:rFonts w:hint="eastAsia" w:ascii="宋体" w:hAnsi="宋体" w:eastAsia="宋体" w:cs="宋体"/>
          <w:sz w:val="28"/>
          <w:szCs w:val="28"/>
        </w:rPr>
        <w:t>医院，管理下到基层医疗机构，提升主要癌肿的早期诊断率和5年生存率。</w:t>
      </w:r>
    </w:p>
    <w:p w14:paraId="42D01FA0">
      <w:pPr>
        <w:pStyle w:val="2"/>
        <w:rPr>
          <w:rFonts w:hint="eastAsia" w:ascii="宋体" w:hAnsi="宋体" w:eastAsia="宋体" w:cs="宋体"/>
        </w:rPr>
      </w:pPr>
      <w:bookmarkStart w:id="16" w:name="_Toc20064"/>
      <w:bookmarkStart w:id="17" w:name="_Toc14248"/>
      <w:bookmarkStart w:id="18" w:name="_Toc21697"/>
      <w:r>
        <w:rPr>
          <w:rFonts w:hint="eastAsia" w:ascii="宋体" w:hAnsi="宋体" w:eastAsia="宋体" w:cs="宋体"/>
        </w:rPr>
        <w:t>建设目标</w:t>
      </w:r>
      <w:bookmarkEnd w:id="16"/>
      <w:bookmarkEnd w:id="17"/>
      <w:bookmarkEnd w:id="18"/>
    </w:p>
    <w:p w14:paraId="1EBF9C1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以勐海县人民医院为中心，下属卫生院4家（勐满镇、勐遮镇、勐混镇、勐阿镇）为试点，</w:t>
      </w:r>
      <w:r>
        <w:rPr>
          <w:rFonts w:hint="eastAsia" w:ascii="宋体" w:hAnsi="宋体" w:eastAsia="宋体" w:cs="宋体"/>
          <w:sz w:val="28"/>
          <w:szCs w:val="28"/>
          <w:lang w:val="en-US" w:eastAsia="zh-CN"/>
        </w:rPr>
        <w:t>建设县乡村一体化管理体系，实现医疗资源下沉，提升基层医疗服务能力，</w:t>
      </w:r>
      <w:r>
        <w:rPr>
          <w:rFonts w:hint="eastAsia" w:ascii="宋体" w:hAnsi="宋体" w:eastAsia="宋体" w:cs="宋体"/>
          <w:sz w:val="28"/>
          <w:szCs w:val="28"/>
        </w:rPr>
        <w:t>推进</w:t>
      </w:r>
      <w:r>
        <w:rPr>
          <w:rFonts w:hint="eastAsia" w:ascii="宋体" w:hAnsi="宋体" w:eastAsia="宋体" w:cs="宋体"/>
          <w:sz w:val="28"/>
          <w:szCs w:val="28"/>
          <w:lang w:val="en-US" w:eastAsia="zh-CN"/>
        </w:rPr>
        <w:t>区域</w:t>
      </w:r>
      <w:r>
        <w:rPr>
          <w:rFonts w:hint="eastAsia" w:ascii="宋体" w:hAnsi="宋体" w:eastAsia="宋体" w:cs="宋体"/>
          <w:sz w:val="28"/>
          <w:szCs w:val="28"/>
        </w:rPr>
        <w:t>癌症防治体系进一步完善，肿瘤高危危险因素综合防控取得阶段性进展，癌症筛查、早诊早治、规范诊疗、康复管理水平显著提升，癌症发病率、死亡率上升趋势得到遏制，提高</w:t>
      </w:r>
      <w:r>
        <w:rPr>
          <w:rFonts w:hint="eastAsia" w:ascii="宋体" w:hAnsi="宋体" w:eastAsia="宋体" w:cs="宋体"/>
          <w:sz w:val="28"/>
          <w:szCs w:val="28"/>
          <w:lang w:val="en-US" w:eastAsia="zh-CN"/>
        </w:rPr>
        <w:t>区域</w:t>
      </w:r>
      <w:r>
        <w:rPr>
          <w:rFonts w:hint="eastAsia" w:ascii="宋体" w:hAnsi="宋体" w:eastAsia="宋体" w:cs="宋体"/>
          <w:sz w:val="28"/>
          <w:szCs w:val="28"/>
        </w:rPr>
        <w:t>内总体癌症5年生存率。具体目标如下：</w:t>
      </w:r>
    </w:p>
    <w:p w14:paraId="540CF03C">
      <w:pPr>
        <w:spacing w:after="156" w:afterLines="50"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实现区域医疗数据的无缝共享，提升治疗效率和质量；</w:t>
      </w:r>
    </w:p>
    <w:p w14:paraId="499982B4">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提高重点癌种早诊率与居民癌症防治知识知晓率；</w:t>
      </w:r>
    </w:p>
    <w:p w14:paraId="6D44BCC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三</w:t>
      </w:r>
      <w:r>
        <w:rPr>
          <w:rFonts w:hint="eastAsia" w:ascii="宋体" w:hAnsi="宋体" w:eastAsia="宋体" w:cs="宋体"/>
          <w:sz w:val="28"/>
          <w:szCs w:val="28"/>
        </w:rPr>
        <w:t>）建立健全肿瘤“防、筛、治、管、康”一体化服务体系，填补服务短板，尤其是在早筛以及患者的术后院外管理方面；</w:t>
      </w:r>
    </w:p>
    <w:p w14:paraId="61B94D1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四</w:t>
      </w:r>
      <w:r>
        <w:rPr>
          <w:rFonts w:hint="eastAsia" w:ascii="宋体" w:hAnsi="宋体" w:eastAsia="宋体" w:cs="宋体"/>
          <w:sz w:val="28"/>
          <w:szCs w:val="28"/>
        </w:rPr>
        <w:t>）培养一支专业的肿瘤病预防、筛查、防治与康复管理团队，提升医疗服务质量</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实现区域肿瘤防治一体化，形成县、乡、村、家四位一体的防治管理体系</w:t>
      </w:r>
      <w:r>
        <w:rPr>
          <w:rFonts w:hint="eastAsia" w:ascii="宋体" w:hAnsi="宋体" w:eastAsia="宋体" w:cs="宋体"/>
          <w:sz w:val="28"/>
          <w:szCs w:val="28"/>
        </w:rPr>
        <w:t>；</w:t>
      </w:r>
    </w:p>
    <w:p w14:paraId="4930CF3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五</w:t>
      </w:r>
      <w:r>
        <w:rPr>
          <w:rFonts w:hint="eastAsia" w:ascii="宋体" w:hAnsi="宋体" w:eastAsia="宋体" w:cs="宋体"/>
          <w:sz w:val="28"/>
          <w:szCs w:val="28"/>
        </w:rPr>
        <w:t>）提高肿瘤患者康复效果，降低肿瘤病的发病率和死亡率，降低恶性肿瘤医疗费用支出；</w:t>
      </w:r>
    </w:p>
    <w:p w14:paraId="51031DD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六</w:t>
      </w:r>
      <w:r>
        <w:rPr>
          <w:rFonts w:hint="eastAsia" w:ascii="宋体" w:hAnsi="宋体" w:eastAsia="宋体" w:cs="宋体"/>
          <w:sz w:val="28"/>
          <w:szCs w:val="28"/>
        </w:rPr>
        <w:t>）建立区域内肿瘤防治的监管及质量控制体系；</w:t>
      </w:r>
    </w:p>
    <w:p w14:paraId="5512B059">
      <w:pPr>
        <w:spacing w:after="156" w:afterLines="50"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七</w:t>
      </w:r>
      <w:r>
        <w:rPr>
          <w:rFonts w:hint="eastAsia" w:ascii="宋体" w:hAnsi="宋体" w:eastAsia="宋体" w:cs="宋体"/>
          <w:sz w:val="28"/>
          <w:szCs w:val="28"/>
          <w:lang w:eastAsia="zh-CN"/>
        </w:rPr>
        <w:t>）对标评审要求进行项目建设，达标</w:t>
      </w:r>
      <w:r>
        <w:rPr>
          <w:rFonts w:hint="eastAsia" w:ascii="宋体" w:hAnsi="宋体" w:eastAsia="宋体" w:cs="宋体"/>
          <w:sz w:val="28"/>
          <w:szCs w:val="28"/>
          <w:lang w:val="en-US" w:eastAsia="zh-CN"/>
        </w:rPr>
        <w:t>千县工程</w:t>
      </w:r>
      <w:r>
        <w:rPr>
          <w:rFonts w:hint="eastAsia" w:ascii="宋体" w:hAnsi="宋体" w:eastAsia="宋体" w:cs="宋体"/>
          <w:sz w:val="28"/>
          <w:szCs w:val="28"/>
          <w:lang w:eastAsia="zh-CN"/>
        </w:rPr>
        <w:t>肿瘤防治管理中心的评审标准。</w:t>
      </w:r>
    </w:p>
    <w:p w14:paraId="5773CC8D">
      <w:pPr>
        <w:pStyle w:val="2"/>
        <w:rPr>
          <w:rFonts w:hint="eastAsia" w:ascii="宋体" w:hAnsi="宋体" w:eastAsia="宋体" w:cs="宋体"/>
        </w:rPr>
      </w:pPr>
      <w:bookmarkStart w:id="19" w:name="_Toc32378"/>
      <w:bookmarkStart w:id="20" w:name="_Toc18028"/>
      <w:bookmarkStart w:id="21" w:name="_Toc3365"/>
      <w:r>
        <w:rPr>
          <w:rFonts w:hint="eastAsia" w:ascii="宋体" w:hAnsi="宋体" w:eastAsia="宋体" w:cs="宋体"/>
        </w:rPr>
        <w:t>主要建设内容</w:t>
      </w:r>
      <w:bookmarkEnd w:id="19"/>
      <w:bookmarkEnd w:id="20"/>
      <w:bookmarkEnd w:id="21"/>
    </w:p>
    <w:p w14:paraId="52009216">
      <w:pPr>
        <w:pStyle w:val="3"/>
        <w:rPr>
          <w:rFonts w:hint="eastAsia" w:ascii="宋体" w:hAnsi="宋体" w:eastAsia="宋体" w:cs="宋体"/>
        </w:rPr>
      </w:pPr>
      <w:bookmarkStart w:id="22" w:name="_Toc23427"/>
      <w:bookmarkStart w:id="23" w:name="_Toc9012"/>
      <w:bookmarkStart w:id="24" w:name="_Toc7145"/>
      <w:r>
        <w:rPr>
          <w:rFonts w:hint="eastAsia" w:ascii="宋体" w:hAnsi="宋体" w:eastAsia="宋体" w:cs="宋体"/>
          <w:lang w:val="en-US" w:eastAsia="zh-CN"/>
        </w:rPr>
        <w:t>4.1</w:t>
      </w:r>
      <w:r>
        <w:rPr>
          <w:rFonts w:hint="eastAsia" w:ascii="宋体" w:hAnsi="宋体" w:eastAsia="宋体" w:cs="宋体"/>
        </w:rPr>
        <w:t>建设规划</w:t>
      </w:r>
      <w:bookmarkEnd w:id="22"/>
      <w:bookmarkEnd w:id="23"/>
      <w:bookmarkEnd w:id="24"/>
    </w:p>
    <w:p w14:paraId="4CAEB20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结合</w:t>
      </w:r>
      <w:r>
        <w:rPr>
          <w:rFonts w:hint="eastAsia" w:ascii="宋体" w:hAnsi="宋体" w:eastAsia="宋体" w:cs="宋体"/>
          <w:sz w:val="28"/>
          <w:szCs w:val="28"/>
          <w:lang w:val="en-US" w:eastAsia="zh-CN"/>
        </w:rPr>
        <w:t>区域</w:t>
      </w:r>
      <w:r>
        <w:rPr>
          <w:rFonts w:hint="eastAsia" w:ascii="宋体" w:hAnsi="宋体" w:eastAsia="宋体" w:cs="宋体"/>
          <w:sz w:val="28"/>
          <w:szCs w:val="28"/>
        </w:rPr>
        <w:t>实际情况，将重点从“防、筛、治、管、康”五个方面开展肿瘤防治中心建设：</w:t>
      </w:r>
    </w:p>
    <w:p w14:paraId="6C8BF8F6">
      <w:pPr>
        <w:numPr>
          <w:ilvl w:val="0"/>
          <w:numId w:val="2"/>
        </w:num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bCs/>
          <w:sz w:val="28"/>
          <w:szCs w:val="28"/>
        </w:rPr>
        <w:t>闭环管理之“防”</w:t>
      </w:r>
      <w:r>
        <w:rPr>
          <w:rFonts w:hint="eastAsia" w:ascii="宋体" w:hAnsi="宋体" w:eastAsia="宋体" w:cs="宋体"/>
          <w:sz w:val="28"/>
          <w:szCs w:val="28"/>
        </w:rPr>
        <w:t>：开展健康宣教与健康促进，发挥信息化平台的作用，提高全民健康素养，提高癌症防治核心知识知晓率。</w:t>
      </w:r>
    </w:p>
    <w:p w14:paraId="48663AE9">
      <w:pPr>
        <w:numPr>
          <w:ilvl w:val="0"/>
          <w:numId w:val="2"/>
        </w:num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bCs/>
          <w:sz w:val="28"/>
          <w:szCs w:val="28"/>
        </w:rPr>
        <w:t>闭环管理之“筛”</w:t>
      </w:r>
      <w:r>
        <w:rPr>
          <w:rFonts w:hint="eastAsia" w:ascii="宋体" w:hAnsi="宋体" w:eastAsia="宋体" w:cs="宋体"/>
          <w:sz w:val="28"/>
          <w:szCs w:val="28"/>
        </w:rPr>
        <w:t>：根据</w:t>
      </w:r>
      <w:r>
        <w:rPr>
          <w:rFonts w:hint="eastAsia" w:ascii="宋体" w:hAnsi="宋体" w:eastAsia="宋体" w:cs="宋体"/>
          <w:sz w:val="28"/>
          <w:szCs w:val="28"/>
          <w:lang w:val="en-US" w:eastAsia="zh-CN"/>
        </w:rPr>
        <w:t>区域</w:t>
      </w:r>
      <w:r>
        <w:rPr>
          <w:rFonts w:hint="eastAsia" w:ascii="宋体" w:hAnsi="宋体" w:eastAsia="宋体" w:cs="宋体"/>
          <w:sz w:val="28"/>
          <w:szCs w:val="28"/>
        </w:rPr>
        <w:t>肿瘤发病情况，结合肿瘤筛查“金标准”和早期治疗效果，开展重点癌症的高危人群筛查工作。</w:t>
      </w:r>
    </w:p>
    <w:p w14:paraId="7D75BA45">
      <w:pPr>
        <w:numPr>
          <w:ilvl w:val="0"/>
          <w:numId w:val="2"/>
        </w:num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bCs/>
          <w:sz w:val="28"/>
          <w:szCs w:val="28"/>
        </w:rPr>
        <w:t>闭环管理之“治”</w:t>
      </w:r>
      <w:r>
        <w:rPr>
          <w:rFonts w:hint="eastAsia" w:ascii="宋体" w:hAnsi="宋体" w:eastAsia="宋体" w:cs="宋体"/>
          <w:sz w:val="28"/>
          <w:szCs w:val="28"/>
        </w:rPr>
        <w:t>：加强科室建设，发挥联动优势，规范分级诊疗，积极探索多学科诊疗(MDT)模式。</w:t>
      </w:r>
    </w:p>
    <w:p w14:paraId="6163D4C9">
      <w:pPr>
        <w:numPr>
          <w:ilvl w:val="0"/>
          <w:numId w:val="2"/>
        </w:num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bCs/>
          <w:sz w:val="28"/>
          <w:szCs w:val="28"/>
        </w:rPr>
        <w:t>闭环管理之“管”</w:t>
      </w:r>
      <w:r>
        <w:rPr>
          <w:rFonts w:hint="eastAsia" w:ascii="宋体" w:hAnsi="宋体" w:eastAsia="宋体" w:cs="宋体"/>
          <w:sz w:val="28"/>
          <w:szCs w:val="28"/>
        </w:rPr>
        <w:t>：开展肿瘤患者及高危人群的健康随访工作，根据患者个性化的健康服务需求提供精细化管理服务，不断完善信息支撑平台。</w:t>
      </w:r>
    </w:p>
    <w:p w14:paraId="36261022">
      <w:pPr>
        <w:numPr>
          <w:ilvl w:val="0"/>
          <w:numId w:val="2"/>
        </w:num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bCs/>
          <w:sz w:val="28"/>
          <w:szCs w:val="28"/>
        </w:rPr>
        <w:t>闭环管理之“康”</w:t>
      </w:r>
      <w:r>
        <w:rPr>
          <w:rFonts w:hint="eastAsia" w:ascii="宋体" w:hAnsi="宋体" w:eastAsia="宋体" w:cs="宋体"/>
          <w:sz w:val="28"/>
          <w:szCs w:val="28"/>
        </w:rPr>
        <w:t>：通过多学科综合干预和个体化的康复方案，提高肿瘤患者的生活质量、恢复功能减少并发症、改善心理状态和促进社会融入。</w:t>
      </w:r>
    </w:p>
    <w:p w14:paraId="5CA9D659">
      <w:pPr>
        <w:pStyle w:val="3"/>
        <w:ind w:firstLine="562" w:firstLineChars="200"/>
        <w:rPr>
          <w:rFonts w:hint="eastAsia" w:ascii="宋体" w:hAnsi="宋体" w:eastAsia="宋体" w:cs="宋体"/>
        </w:rPr>
      </w:pPr>
      <w:bookmarkStart w:id="25" w:name="_Toc22804"/>
      <w:bookmarkStart w:id="26" w:name="_Toc17431"/>
      <w:bookmarkStart w:id="27" w:name="_Toc30998"/>
      <w:r>
        <w:rPr>
          <w:rFonts w:hint="eastAsia" w:ascii="宋体" w:hAnsi="宋体" w:eastAsia="宋体" w:cs="宋体"/>
          <w:lang w:val="en-US" w:eastAsia="zh-CN"/>
        </w:rPr>
        <w:t>4.2</w:t>
      </w:r>
      <w:r>
        <w:rPr>
          <w:rFonts w:hint="eastAsia" w:ascii="宋体" w:hAnsi="宋体" w:eastAsia="宋体" w:cs="宋体"/>
        </w:rPr>
        <w:t>信息化平台建设</w:t>
      </w:r>
      <w:bookmarkEnd w:id="25"/>
      <w:bookmarkEnd w:id="26"/>
      <w:bookmarkEnd w:id="27"/>
    </w:p>
    <w:p w14:paraId="63FEBC6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建设</w:t>
      </w:r>
      <w:r>
        <w:rPr>
          <w:rFonts w:hint="eastAsia" w:ascii="宋体" w:hAnsi="宋体" w:eastAsia="宋体" w:cs="宋体"/>
          <w:sz w:val="28"/>
          <w:szCs w:val="28"/>
          <w:lang w:val="en-US" w:eastAsia="zh-CN"/>
        </w:rPr>
        <w:t>区</w:t>
      </w:r>
      <w:r>
        <w:rPr>
          <w:rFonts w:hint="eastAsia" w:ascii="宋体" w:hAnsi="宋体" w:eastAsia="宋体" w:cs="宋体"/>
          <w:sz w:val="28"/>
          <w:szCs w:val="28"/>
        </w:rPr>
        <w:t>域肿瘤防治管理平台，智能收集、汇总、分析各医疗系统的肿瘤患者健康信息，生成区域肿瘤患者疾病谱数据，结合智脑的分析引擎，对</w:t>
      </w:r>
      <w:r>
        <w:rPr>
          <w:rFonts w:hint="eastAsia" w:ascii="宋体" w:hAnsi="宋体" w:eastAsia="宋体" w:cs="宋体"/>
          <w:sz w:val="28"/>
          <w:szCs w:val="28"/>
          <w:lang w:val="en-US" w:eastAsia="zh-CN"/>
        </w:rPr>
        <w:t>区域</w:t>
      </w:r>
      <w:r>
        <w:rPr>
          <w:rFonts w:hint="eastAsia" w:ascii="宋体" w:hAnsi="宋体" w:eastAsia="宋体" w:cs="宋体"/>
          <w:sz w:val="28"/>
          <w:szCs w:val="28"/>
        </w:rPr>
        <w:t>肿瘤患者进行智能分组，通过体系协同、资源整合、模式创新，全面提升区域肿瘤综合防治能力，开展“防、筛、治、管、康”服务,为</w:t>
      </w:r>
      <w:r>
        <w:rPr>
          <w:rFonts w:hint="eastAsia" w:ascii="宋体" w:hAnsi="宋体" w:eastAsia="宋体" w:cs="宋体"/>
          <w:sz w:val="28"/>
          <w:szCs w:val="28"/>
          <w:lang w:val="en-US" w:eastAsia="zh-CN"/>
        </w:rPr>
        <w:t>区域</w:t>
      </w:r>
      <w:r>
        <w:rPr>
          <w:rFonts w:hint="eastAsia" w:ascii="宋体" w:hAnsi="宋体" w:eastAsia="宋体" w:cs="宋体"/>
          <w:sz w:val="28"/>
          <w:szCs w:val="28"/>
        </w:rPr>
        <w:t>肿瘤患者提供全周期闭环管理，加快提升区域肿瘤疾病诊疗水平，健全区域肿瘤防治体系，提高患者生存质量。</w:t>
      </w:r>
    </w:p>
    <w:p w14:paraId="5891E5FC">
      <w:pPr>
        <w:spacing w:after="156" w:afterLines="50" w:line="360" w:lineRule="auto"/>
        <w:jc w:val="center"/>
        <w:rPr>
          <w:rFonts w:hint="eastAsia" w:ascii="宋体" w:hAnsi="宋体" w:eastAsia="宋体" w:cs="宋体"/>
          <w:sz w:val="28"/>
          <w:szCs w:val="28"/>
        </w:rPr>
      </w:pPr>
      <w:r>
        <w:rPr>
          <w:rFonts w:hint="eastAsia" w:ascii="宋体" w:hAnsi="宋体" w:eastAsia="宋体" w:cs="宋体"/>
        </w:rPr>
        <w:drawing>
          <wp:inline distT="0" distB="0" distL="114300" distR="114300">
            <wp:extent cx="5459095" cy="2847975"/>
            <wp:effectExtent l="0" t="0" r="8255" b="9525"/>
            <wp:docPr id="1" name="图片 2" descr="区域肿瘤管理平台2024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区域肿瘤管理平台20240802"/>
                    <pic:cNvPicPr>
                      <a:picLocks noChangeAspect="1"/>
                    </pic:cNvPicPr>
                  </pic:nvPicPr>
                  <pic:blipFill>
                    <a:blip r:embed="rId4"/>
                    <a:stretch>
                      <a:fillRect/>
                    </a:stretch>
                  </pic:blipFill>
                  <pic:spPr>
                    <a:xfrm>
                      <a:off x="0" y="0"/>
                      <a:ext cx="5459095" cy="2847975"/>
                    </a:xfrm>
                    <a:prstGeom prst="rect">
                      <a:avLst/>
                    </a:prstGeom>
                  </pic:spPr>
                </pic:pic>
              </a:graphicData>
            </a:graphic>
          </wp:inline>
        </w:drawing>
      </w:r>
    </w:p>
    <w:p w14:paraId="4B042F64">
      <w:pPr>
        <w:spacing w:after="156" w:afterLines="50" w:line="360" w:lineRule="auto"/>
        <w:jc w:val="center"/>
        <w:rPr>
          <w:rFonts w:hint="eastAsia" w:ascii="宋体" w:hAnsi="宋体" w:eastAsia="宋体" w:cs="宋体"/>
          <w:sz w:val="28"/>
          <w:szCs w:val="28"/>
        </w:rPr>
      </w:pPr>
      <w:r>
        <w:rPr>
          <w:rFonts w:hint="eastAsia" w:ascii="宋体" w:hAnsi="宋体" w:eastAsia="宋体" w:cs="宋体"/>
          <w:sz w:val="24"/>
          <w:szCs w:val="32"/>
        </w:rPr>
        <w:t>平台业务全景</w:t>
      </w:r>
    </w:p>
    <w:p w14:paraId="3776BE7E">
      <w:pPr>
        <w:spacing w:after="156" w:afterLines="50" w:line="360" w:lineRule="auto"/>
        <w:jc w:val="center"/>
        <w:rPr>
          <w:rFonts w:hint="eastAsia" w:ascii="宋体" w:hAnsi="宋体" w:eastAsia="宋体" w:cs="宋体"/>
          <w:sz w:val="24"/>
          <w:szCs w:val="32"/>
        </w:rPr>
      </w:pPr>
      <w:r>
        <w:rPr>
          <w:rFonts w:hint="eastAsia" w:ascii="宋体" w:hAnsi="宋体" w:eastAsia="宋体" w:cs="宋体"/>
          <w:sz w:val="24"/>
          <w:szCs w:val="32"/>
        </w:rPr>
        <w:drawing>
          <wp:inline distT="0" distB="0" distL="114300" distR="114300">
            <wp:extent cx="5082540" cy="3646805"/>
            <wp:effectExtent l="0" t="0" r="3810" b="10795"/>
            <wp:docPr id="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pic:cNvPicPr>
                      <a:picLocks noChangeAspect="1"/>
                    </pic:cNvPicPr>
                  </pic:nvPicPr>
                  <pic:blipFill>
                    <a:blip r:embed="rId5"/>
                    <a:stretch>
                      <a:fillRect/>
                    </a:stretch>
                  </pic:blipFill>
                  <pic:spPr>
                    <a:xfrm>
                      <a:off x="0" y="0"/>
                      <a:ext cx="5082540" cy="3646805"/>
                    </a:xfrm>
                    <a:prstGeom prst="rect">
                      <a:avLst/>
                    </a:prstGeom>
                    <a:noFill/>
                    <a:ln>
                      <a:noFill/>
                    </a:ln>
                  </pic:spPr>
                </pic:pic>
              </a:graphicData>
            </a:graphic>
          </wp:inline>
        </w:drawing>
      </w:r>
    </w:p>
    <w:p w14:paraId="2E5E39F2">
      <w:pPr>
        <w:spacing w:after="156" w:afterLines="50" w:line="360" w:lineRule="auto"/>
        <w:jc w:val="center"/>
        <w:rPr>
          <w:rFonts w:hint="eastAsia" w:ascii="宋体" w:hAnsi="宋体" w:eastAsia="宋体" w:cs="宋体"/>
          <w:sz w:val="24"/>
          <w:szCs w:val="32"/>
        </w:rPr>
      </w:pPr>
      <w:r>
        <w:rPr>
          <w:rFonts w:hint="eastAsia" w:ascii="宋体" w:hAnsi="宋体" w:eastAsia="宋体" w:cs="宋体"/>
          <w:sz w:val="24"/>
          <w:szCs w:val="32"/>
        </w:rPr>
        <w:t>区域业务全景图</w:t>
      </w:r>
    </w:p>
    <w:p w14:paraId="6DCF2C5B">
      <w:pPr>
        <w:pStyle w:val="4"/>
        <w:rPr>
          <w:rFonts w:hint="eastAsia" w:ascii="宋体" w:hAnsi="宋体" w:eastAsia="宋体" w:cs="宋体"/>
        </w:rPr>
      </w:pPr>
      <w:bookmarkStart w:id="28" w:name="_Toc26307"/>
      <w:bookmarkStart w:id="29" w:name="_Toc27917"/>
      <w:bookmarkStart w:id="30" w:name="_Toc16843"/>
      <w:bookmarkStart w:id="31" w:name="_Toc4611"/>
      <w:r>
        <w:rPr>
          <w:rFonts w:hint="eastAsia" w:ascii="宋体" w:hAnsi="宋体" w:eastAsia="宋体" w:cs="宋体"/>
          <w:lang w:val="en-US" w:eastAsia="zh-CN"/>
        </w:rPr>
        <w:t>4.2.1</w:t>
      </w:r>
      <w:r>
        <w:rPr>
          <w:rFonts w:hint="eastAsia" w:ascii="宋体" w:hAnsi="宋体" w:eastAsia="宋体" w:cs="宋体"/>
        </w:rPr>
        <w:t>肿瘤智脑</w:t>
      </w:r>
      <w:bookmarkEnd w:id="28"/>
      <w:bookmarkEnd w:id="29"/>
      <w:bookmarkEnd w:id="30"/>
      <w:bookmarkEnd w:id="31"/>
    </w:p>
    <w:p w14:paraId="2F0E66BB">
      <w:pPr>
        <w:pStyle w:val="5"/>
        <w:bidi w:val="0"/>
        <w:rPr>
          <w:rFonts w:hint="eastAsia" w:ascii="宋体" w:hAnsi="宋体" w:eastAsia="宋体" w:cs="宋体"/>
        </w:rPr>
      </w:pPr>
      <w:bookmarkStart w:id="32" w:name="_Toc13777"/>
      <w:bookmarkStart w:id="33" w:name="_Toc28891"/>
      <w:bookmarkStart w:id="34" w:name="_Toc23869"/>
      <w:r>
        <w:rPr>
          <w:rFonts w:hint="eastAsia" w:ascii="宋体" w:hAnsi="宋体" w:eastAsia="宋体" w:cs="宋体"/>
          <w:lang w:val="en-US" w:eastAsia="zh-CN"/>
        </w:rPr>
        <w:t>4.2.1.1</w:t>
      </w:r>
      <w:r>
        <w:rPr>
          <w:rFonts w:hint="eastAsia" w:ascii="宋体" w:hAnsi="宋体" w:eastAsia="宋体" w:cs="宋体"/>
        </w:rPr>
        <w:t>数据共享与交换</w:t>
      </w:r>
      <w:bookmarkEnd w:id="32"/>
      <w:bookmarkEnd w:id="33"/>
      <w:bookmarkEnd w:id="34"/>
    </w:p>
    <w:p w14:paraId="29B2CB2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以集约化建设模式实现区域肿瘤防治管理平台批量数据采集和个案数据交换，强化数据采集与交换的过程数据质量控制，以及数据标准化管理。</w:t>
      </w:r>
    </w:p>
    <w:p w14:paraId="40DC9EA1">
      <w:pPr>
        <w:pStyle w:val="5"/>
        <w:bidi w:val="0"/>
        <w:rPr>
          <w:rFonts w:hint="eastAsia" w:ascii="宋体" w:hAnsi="宋体" w:eastAsia="宋体" w:cs="宋体"/>
        </w:rPr>
      </w:pPr>
      <w:bookmarkStart w:id="35" w:name="_Toc17212"/>
      <w:bookmarkStart w:id="36" w:name="_Toc32713"/>
      <w:bookmarkStart w:id="37" w:name="_Toc5343"/>
      <w:r>
        <w:rPr>
          <w:rFonts w:hint="eastAsia" w:ascii="宋体" w:hAnsi="宋体" w:eastAsia="宋体" w:cs="宋体"/>
          <w:lang w:val="en-US" w:eastAsia="zh-CN"/>
        </w:rPr>
        <w:t>4.2.1.2</w:t>
      </w:r>
      <w:r>
        <w:rPr>
          <w:rFonts w:hint="eastAsia" w:ascii="宋体" w:hAnsi="宋体" w:eastAsia="宋体" w:cs="宋体"/>
        </w:rPr>
        <w:t>数据资源中心</w:t>
      </w:r>
      <w:bookmarkEnd w:id="35"/>
      <w:bookmarkEnd w:id="36"/>
      <w:bookmarkEnd w:id="37"/>
    </w:p>
    <w:p w14:paraId="756EBD3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以区域城乡居民肿瘤管理数据为核心，结合医疗健康服务业务体系的特点，综合区域医疗健康信息资源，采取统一的建设标准、统一的技术实现方式以促进医疗健康服务体系的数据共享和数据交换，消除信息孤岛、信息烟囱。</w:t>
      </w:r>
    </w:p>
    <w:p w14:paraId="353FF46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数据中心由各类共享交换数据集合组成，分为三个层次，包括汇聚各类业务数据的业务主题库、统一管理标准信息的标准信息库、支撑数据交换及数据深入利用的共享交换库和管理决策数据仓库、采集居民基本信息和健康信息的三大核心数据库，以及对基础数据、代码数据、公共数据也实现集中化设计和管理的平台运行支撑库。</w:t>
      </w:r>
    </w:p>
    <w:p w14:paraId="38071A69">
      <w:pPr>
        <w:pStyle w:val="5"/>
        <w:bidi w:val="0"/>
        <w:rPr>
          <w:rFonts w:hint="eastAsia" w:ascii="宋体" w:hAnsi="宋体" w:eastAsia="宋体" w:cs="宋体"/>
        </w:rPr>
      </w:pPr>
      <w:bookmarkStart w:id="38" w:name="_Toc23851"/>
      <w:bookmarkStart w:id="39" w:name="_Toc170"/>
      <w:bookmarkStart w:id="40" w:name="_Toc3328"/>
      <w:r>
        <w:rPr>
          <w:rFonts w:hint="eastAsia" w:ascii="宋体" w:hAnsi="宋体" w:eastAsia="宋体" w:cs="宋体"/>
          <w:lang w:val="en-US" w:eastAsia="zh-CN"/>
        </w:rPr>
        <w:t>4.2.1.3</w:t>
      </w:r>
      <w:r>
        <w:rPr>
          <w:rFonts w:hint="eastAsia" w:ascii="宋体" w:hAnsi="宋体" w:eastAsia="宋体" w:cs="宋体"/>
        </w:rPr>
        <w:t>互联互通接口</w:t>
      </w:r>
      <w:bookmarkEnd w:id="38"/>
      <w:bookmarkEnd w:id="39"/>
      <w:bookmarkEnd w:id="40"/>
    </w:p>
    <w:p w14:paraId="18604B6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互联互通接口根据区域肿瘤防治管理平台接入规范，按照数据交换的内容和方式，以及数据交换的实施工作。结合区域肿瘤防治管理平台应用建设要求，需要实现与</w:t>
      </w:r>
      <w:r>
        <w:rPr>
          <w:rFonts w:hint="eastAsia" w:ascii="宋体" w:hAnsi="宋体" w:eastAsia="宋体" w:cs="宋体"/>
          <w:sz w:val="28"/>
          <w:szCs w:val="28"/>
          <w:lang w:val="en-US" w:eastAsia="zh-CN"/>
        </w:rPr>
        <w:t>区域三级医院、</w:t>
      </w:r>
      <w:r>
        <w:rPr>
          <w:rFonts w:hint="eastAsia" w:ascii="宋体" w:hAnsi="宋体" w:eastAsia="宋体" w:cs="宋体"/>
          <w:sz w:val="28"/>
          <w:szCs w:val="28"/>
        </w:rPr>
        <w:t>二级医院、基层医疗卫生信息系统以及相关卫生条线系统的对接。结合地方特色需求，需要与其他相关系统对接，根据实际需求，另行设计。</w:t>
      </w:r>
    </w:p>
    <w:p w14:paraId="4DF921F3">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本期项目需要对接的系统如下：</w:t>
      </w:r>
    </w:p>
    <w:p w14:paraId="70CE6EE9">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基本公共卫生平台</w:t>
      </w:r>
    </w:p>
    <w:p w14:paraId="29DF6885">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家庭医生签约平台</w:t>
      </w:r>
    </w:p>
    <w:p w14:paraId="71612511">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区域 HIS系统</w:t>
      </w:r>
    </w:p>
    <w:p w14:paraId="00A2F6AC">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总院信息化系统（HIS+LIS+PACS+EMR等）</w:t>
      </w:r>
    </w:p>
    <w:p w14:paraId="5D016B4E">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总院健康体检系统</w:t>
      </w:r>
    </w:p>
    <w:p w14:paraId="4E9A5FA1">
      <w:pPr>
        <w:keepNext w:val="0"/>
        <w:keepLines w:val="0"/>
        <w:pageBreakBefore w:val="0"/>
        <w:widowControl w:val="0"/>
        <w:numPr>
          <w:ilvl w:val="0"/>
          <w:numId w:val="3"/>
        </w:numPr>
        <w:kinsoku/>
        <w:wordWrap/>
        <w:overflowPunct/>
        <w:topLinePunct w:val="0"/>
        <w:autoSpaceDE/>
        <w:autoSpaceDN/>
        <w:bidi w:val="0"/>
        <w:adjustRightInd/>
        <w:snapToGrid/>
        <w:spacing w:after="157" w:afterLines="50" w:line="360" w:lineRule="auto"/>
        <w:ind w:left="840" w:leftChars="0" w:hanging="420" w:firstLine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省癌症中心肿瘤随访系统</w:t>
      </w:r>
    </w:p>
    <w:p w14:paraId="0D3F6031">
      <w:pPr>
        <w:pStyle w:val="4"/>
        <w:bidi w:val="0"/>
        <w:rPr>
          <w:rFonts w:hint="eastAsia" w:ascii="宋体" w:hAnsi="宋体" w:eastAsia="宋体" w:cs="宋体"/>
        </w:rPr>
      </w:pPr>
      <w:bookmarkStart w:id="41" w:name="_Toc29450"/>
      <w:bookmarkStart w:id="42" w:name="_Toc20656"/>
      <w:bookmarkStart w:id="43" w:name="_Toc16121"/>
      <w:r>
        <w:rPr>
          <w:rFonts w:hint="eastAsia" w:ascii="宋体" w:hAnsi="宋体" w:eastAsia="宋体" w:cs="宋体"/>
          <w:lang w:val="en-US" w:eastAsia="zh-CN"/>
        </w:rPr>
        <w:t>4.2.2</w:t>
      </w:r>
      <w:r>
        <w:rPr>
          <w:rFonts w:hint="eastAsia" w:ascii="宋体" w:hAnsi="宋体" w:eastAsia="宋体" w:cs="宋体"/>
        </w:rPr>
        <w:t>数据智能管理引擎</w:t>
      </w:r>
      <w:bookmarkEnd w:id="41"/>
      <w:bookmarkEnd w:id="42"/>
      <w:bookmarkEnd w:id="43"/>
    </w:p>
    <w:p w14:paraId="6A9D2CC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数据智能管理引擎是智脑的核心功能模块之一，通过应用人工智能和大数据技术，对海量医疗健康数据进行智能管理与分析，提供精准、高效、自动化的模块应用。</w:t>
      </w:r>
    </w:p>
    <w:p w14:paraId="2FC38B2F">
      <w:pPr>
        <w:pStyle w:val="5"/>
        <w:bidi w:val="0"/>
        <w:rPr>
          <w:rFonts w:hint="eastAsia" w:ascii="宋体" w:hAnsi="宋体" w:eastAsia="宋体" w:cs="宋体"/>
        </w:rPr>
      </w:pPr>
      <w:bookmarkStart w:id="44" w:name="_Toc9059"/>
      <w:bookmarkStart w:id="45" w:name="_Toc28689"/>
      <w:r>
        <w:rPr>
          <w:rFonts w:hint="eastAsia" w:ascii="宋体" w:hAnsi="宋体" w:eastAsia="宋体" w:cs="宋体"/>
          <w:lang w:val="en-US" w:eastAsia="zh-CN"/>
        </w:rPr>
        <w:t>4.2.2.1</w:t>
      </w:r>
      <w:r>
        <w:rPr>
          <w:rFonts w:hint="eastAsia" w:ascii="宋体" w:hAnsi="宋体" w:eastAsia="宋体" w:cs="宋体"/>
        </w:rPr>
        <w:t>人群标签管理引擎</w:t>
      </w:r>
      <w:bookmarkEnd w:id="44"/>
      <w:bookmarkEnd w:id="45"/>
    </w:p>
    <w:p w14:paraId="75B91D9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根据多维度数据，对人群进行标签化管理。生成个性化健康标签，如高危人群、肿瘤人群等，便于精准干预和管理。</w:t>
      </w:r>
    </w:p>
    <w:p w14:paraId="3D012F1C">
      <w:pPr>
        <w:pStyle w:val="5"/>
        <w:bidi w:val="0"/>
        <w:rPr>
          <w:rFonts w:hint="eastAsia" w:ascii="宋体" w:hAnsi="宋体" w:eastAsia="宋体" w:cs="宋体"/>
        </w:rPr>
      </w:pPr>
      <w:bookmarkStart w:id="46" w:name="_Toc12688"/>
      <w:bookmarkStart w:id="47" w:name="_Toc16385"/>
      <w:r>
        <w:rPr>
          <w:rFonts w:hint="eastAsia" w:ascii="宋体" w:hAnsi="宋体" w:eastAsia="宋体" w:cs="宋体"/>
          <w:lang w:val="en-US" w:eastAsia="zh-CN"/>
        </w:rPr>
        <w:t>4.2.2.2</w:t>
      </w:r>
      <w:r>
        <w:rPr>
          <w:rFonts w:hint="eastAsia" w:ascii="宋体" w:hAnsi="宋体" w:eastAsia="宋体" w:cs="宋体"/>
        </w:rPr>
        <w:t>高风险人群分类筛选引擎</w:t>
      </w:r>
      <w:bookmarkEnd w:id="46"/>
      <w:bookmarkEnd w:id="47"/>
    </w:p>
    <w:p w14:paraId="7C27890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智能识别并分类高风险人群，为早期干预提供数据支持。生成高风险人群名单，支持个性化干预措施和健康管理服务。</w:t>
      </w:r>
    </w:p>
    <w:p w14:paraId="5B89EE2F">
      <w:pPr>
        <w:pStyle w:val="5"/>
        <w:bidi w:val="0"/>
        <w:rPr>
          <w:rFonts w:hint="eastAsia" w:ascii="宋体" w:hAnsi="宋体" w:eastAsia="宋体" w:cs="宋体"/>
        </w:rPr>
      </w:pPr>
      <w:bookmarkStart w:id="48" w:name="_Toc18559"/>
      <w:bookmarkStart w:id="49" w:name="_Toc12887"/>
      <w:r>
        <w:rPr>
          <w:rFonts w:hint="eastAsia" w:ascii="宋体" w:hAnsi="宋体" w:eastAsia="宋体" w:cs="宋体"/>
          <w:lang w:val="en-US" w:eastAsia="zh-CN"/>
        </w:rPr>
        <w:t>4.2.2.3</w:t>
      </w:r>
      <w:r>
        <w:rPr>
          <w:rFonts w:hint="eastAsia" w:ascii="宋体" w:hAnsi="宋体" w:eastAsia="宋体" w:cs="宋体"/>
        </w:rPr>
        <w:t>肿瘤人群分类分级管理引擎</w:t>
      </w:r>
      <w:bookmarkEnd w:id="48"/>
      <w:bookmarkEnd w:id="49"/>
    </w:p>
    <w:p w14:paraId="6282DC7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对肿瘤患者进行分类与分级管理，提供精准的健康管理服务。为不同类别的肿瘤患者制定个性化管理方案，包括自我管理、一体化签约管理的等。</w:t>
      </w:r>
    </w:p>
    <w:p w14:paraId="42E8F7B2">
      <w:pPr>
        <w:pStyle w:val="5"/>
        <w:bidi w:val="0"/>
        <w:rPr>
          <w:rFonts w:hint="eastAsia" w:ascii="宋体" w:hAnsi="宋体" w:eastAsia="宋体" w:cs="宋体"/>
        </w:rPr>
      </w:pPr>
      <w:bookmarkStart w:id="50" w:name="_Toc9284"/>
      <w:bookmarkStart w:id="51" w:name="_Toc3320"/>
      <w:r>
        <w:rPr>
          <w:rFonts w:hint="eastAsia" w:ascii="宋体" w:hAnsi="宋体" w:eastAsia="宋体" w:cs="宋体"/>
          <w:lang w:val="en-US" w:eastAsia="zh-CN"/>
        </w:rPr>
        <w:t>4.2.2.4</w:t>
      </w:r>
      <w:r>
        <w:rPr>
          <w:rFonts w:hint="eastAsia" w:ascii="宋体" w:hAnsi="宋体" w:eastAsia="宋体" w:cs="宋体"/>
        </w:rPr>
        <w:t>模块化消息推送引擎</w:t>
      </w:r>
      <w:bookmarkEnd w:id="50"/>
      <w:bookmarkEnd w:id="51"/>
    </w:p>
    <w:p w14:paraId="6BFD8D6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根据目标人群的分类和需求，进行模块化的消息推送。通过短信、微信等多渠道推送信息，实现精准消息推送。</w:t>
      </w:r>
    </w:p>
    <w:p w14:paraId="7FCDB13E">
      <w:pPr>
        <w:pStyle w:val="5"/>
        <w:bidi w:val="0"/>
        <w:rPr>
          <w:rFonts w:hint="eastAsia" w:ascii="宋体" w:hAnsi="宋体" w:eastAsia="宋体" w:cs="宋体"/>
        </w:rPr>
      </w:pPr>
      <w:bookmarkStart w:id="52" w:name="_Toc16492"/>
      <w:bookmarkStart w:id="53" w:name="_Toc1056"/>
      <w:r>
        <w:rPr>
          <w:rFonts w:hint="eastAsia" w:ascii="宋体" w:hAnsi="宋体" w:eastAsia="宋体" w:cs="宋体"/>
          <w:lang w:val="en-US" w:eastAsia="zh-CN"/>
        </w:rPr>
        <w:t>4.2.2.5</w:t>
      </w:r>
      <w:r>
        <w:rPr>
          <w:rFonts w:hint="eastAsia" w:ascii="宋体" w:hAnsi="宋体" w:eastAsia="宋体" w:cs="宋体"/>
        </w:rPr>
        <w:t>短信智能管理引擎</w:t>
      </w:r>
      <w:bookmarkEnd w:id="52"/>
      <w:bookmarkEnd w:id="53"/>
    </w:p>
    <w:p w14:paraId="77C38DF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定期向目标人群发送个性化的健康管理短信，提升居民健康管理的参与度和遵从性。</w:t>
      </w:r>
    </w:p>
    <w:p w14:paraId="330BEFE5">
      <w:pPr>
        <w:pStyle w:val="5"/>
        <w:bidi w:val="0"/>
        <w:rPr>
          <w:rFonts w:hint="eastAsia" w:ascii="宋体" w:hAnsi="宋体" w:eastAsia="宋体" w:cs="宋体"/>
        </w:rPr>
      </w:pPr>
      <w:bookmarkStart w:id="54" w:name="_Toc27131"/>
      <w:bookmarkStart w:id="55" w:name="_Toc1216"/>
      <w:r>
        <w:rPr>
          <w:rFonts w:hint="eastAsia" w:ascii="宋体" w:hAnsi="宋体" w:eastAsia="宋体" w:cs="宋体"/>
          <w:lang w:val="en-US" w:eastAsia="zh-CN"/>
        </w:rPr>
        <w:t>4.2.2.6</w:t>
      </w:r>
      <w:r>
        <w:rPr>
          <w:rFonts w:hint="eastAsia" w:ascii="宋体" w:hAnsi="宋体" w:eastAsia="宋体" w:cs="宋体"/>
        </w:rPr>
        <w:t>知识库管理</w:t>
      </w:r>
      <w:bookmarkEnd w:id="54"/>
      <w:bookmarkEnd w:id="55"/>
    </w:p>
    <w:p w14:paraId="27FBC7C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建立和管理健康知识库，提供可靠的医疗参考信息。为医生、居民、健康管理者提供及时、准确的医学知识支持。</w:t>
      </w:r>
    </w:p>
    <w:p w14:paraId="732E1F76">
      <w:pPr>
        <w:pStyle w:val="4"/>
        <w:rPr>
          <w:rFonts w:hint="eastAsia" w:ascii="宋体" w:hAnsi="宋体" w:eastAsia="宋体" w:cs="宋体"/>
        </w:rPr>
      </w:pPr>
      <w:bookmarkStart w:id="56" w:name="_Toc11781"/>
      <w:bookmarkStart w:id="57" w:name="_Toc8963"/>
      <w:bookmarkStart w:id="58" w:name="_Toc32155"/>
      <w:bookmarkStart w:id="59" w:name="_Toc3562"/>
      <w:r>
        <w:rPr>
          <w:rFonts w:hint="eastAsia" w:ascii="宋体" w:hAnsi="宋体" w:eastAsia="宋体" w:cs="宋体"/>
          <w:lang w:val="en-US" w:eastAsia="zh-CN"/>
        </w:rPr>
        <w:t>4.2.3</w:t>
      </w:r>
      <w:r>
        <w:rPr>
          <w:rFonts w:hint="eastAsia" w:ascii="宋体" w:hAnsi="宋体" w:eastAsia="宋体" w:cs="宋体"/>
        </w:rPr>
        <w:t>多角色业务设计</w:t>
      </w:r>
      <w:bookmarkEnd w:id="56"/>
      <w:bookmarkEnd w:id="57"/>
      <w:bookmarkEnd w:id="58"/>
      <w:bookmarkEnd w:id="59"/>
    </w:p>
    <w:p w14:paraId="35C80EF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构建“一核多元”为基本框架，充分发挥各级医疗机构的卫生健康管理职能，联合区域内乡村全科医生以及中心医院的专科医生，共同组建居民肿瘤管理服务团队，形成以“指导患者合理化就医+提供全程医疗服务+肿瘤管理”为主要服务内容的专科医生、全科医生、乡村医生的区域共管服务体系，全面、科学、合理的提升全县居民的健康水平，构筑多元共治、多位一体的肿瘤管理体系。</w:t>
      </w:r>
    </w:p>
    <w:p w14:paraId="6A839160">
      <w:pPr>
        <w:pStyle w:val="4"/>
        <w:rPr>
          <w:rFonts w:hint="eastAsia" w:ascii="宋体" w:hAnsi="宋体" w:eastAsia="宋体" w:cs="宋体"/>
        </w:rPr>
      </w:pPr>
      <w:bookmarkStart w:id="60" w:name="_Toc22644"/>
      <w:bookmarkStart w:id="61" w:name="_Toc23125"/>
      <w:bookmarkStart w:id="62" w:name="_Toc24518"/>
      <w:bookmarkStart w:id="63" w:name="_Toc12346"/>
      <w:r>
        <w:rPr>
          <w:rFonts w:hint="eastAsia" w:ascii="宋体" w:hAnsi="宋体" w:eastAsia="宋体" w:cs="宋体"/>
          <w:lang w:val="en-US" w:eastAsia="zh-CN"/>
        </w:rPr>
        <w:t>4.2.4</w:t>
      </w:r>
      <w:r>
        <w:rPr>
          <w:rFonts w:hint="eastAsia" w:ascii="宋体" w:hAnsi="宋体" w:eastAsia="宋体" w:cs="宋体"/>
        </w:rPr>
        <w:t>恶性肿瘤疾病谱建设</w:t>
      </w:r>
      <w:bookmarkEnd w:id="60"/>
      <w:bookmarkEnd w:id="61"/>
      <w:bookmarkEnd w:id="62"/>
      <w:bookmarkEnd w:id="63"/>
    </w:p>
    <w:p w14:paraId="11134E72">
      <w:pPr>
        <w:spacing w:after="156" w:afterLines="50" w:line="360" w:lineRule="auto"/>
        <w:ind w:firstLine="560" w:firstLineChars="200"/>
        <w:rPr>
          <w:rFonts w:hint="eastAsia" w:ascii="宋体" w:hAnsi="宋体" w:eastAsia="宋体" w:cs="宋体"/>
        </w:rPr>
      </w:pPr>
      <w:r>
        <w:rPr>
          <w:rFonts w:hint="eastAsia" w:ascii="宋体" w:hAnsi="宋体" w:eastAsia="宋体" w:cs="宋体"/>
          <w:sz w:val="28"/>
          <w:szCs w:val="28"/>
        </w:rPr>
        <w:t>通过大数据技术和统计分析构建的恶性肿瘤疾病分布和发生情况的图谱。它能够展示在区域内，各种恶性肿瘤疾病的发病率、分布情况、趋势及相关性。</w:t>
      </w:r>
    </w:p>
    <w:p w14:paraId="5D19C40E">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发病率统计：统计和分析区域内各种疾病的发病率。</w:t>
      </w:r>
    </w:p>
    <w:p w14:paraId="51E02C45">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地理分布：展示不同疾病在区域内的空间分布情况。</w:t>
      </w:r>
    </w:p>
    <w:p w14:paraId="358D200E">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疾病与年龄：分析不同年龄段人群的疾病分布情况。</w:t>
      </w:r>
    </w:p>
    <w:p w14:paraId="2F667456">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疾病与性别：分析不同性别人群的疾病分布情况。</w:t>
      </w:r>
    </w:p>
    <w:p w14:paraId="3890BEE7">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疾病与其他人口特征：结合职业、生活习惯等因素，分析疾病分布，提升健康干预的精准度。</w:t>
      </w:r>
    </w:p>
    <w:p w14:paraId="56537346">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时序趋势：通过时间序列数据，分析疾病的发生和变化趋势。</w:t>
      </w:r>
    </w:p>
    <w:p w14:paraId="03F6B22A">
      <w:pPr>
        <w:pStyle w:val="9"/>
        <w:numPr>
          <w:ilvl w:val="0"/>
          <w:numId w:val="4"/>
        </w:numPr>
        <w:spacing w:after="156" w:afterLines="50" w:line="360" w:lineRule="auto"/>
        <w:ind w:firstLineChars="0"/>
        <w:rPr>
          <w:rFonts w:hint="eastAsia" w:ascii="宋体" w:hAnsi="宋体" w:eastAsia="宋体" w:cs="宋体"/>
          <w:bCs/>
          <w:sz w:val="28"/>
          <w:szCs w:val="28"/>
        </w:rPr>
      </w:pPr>
      <w:r>
        <w:rPr>
          <w:rFonts w:hint="eastAsia" w:ascii="宋体" w:hAnsi="宋体" w:eastAsia="宋体" w:cs="宋体"/>
          <w:bCs/>
          <w:sz w:val="28"/>
          <w:szCs w:val="28"/>
        </w:rPr>
        <w:t>多病种关联：分析不同疾病之间的关联情况，揭示共病现象和潜在的病因关系。</w:t>
      </w:r>
    </w:p>
    <w:p w14:paraId="5562F2E0">
      <w:pPr>
        <w:pStyle w:val="4"/>
        <w:rPr>
          <w:rFonts w:hint="eastAsia" w:ascii="宋体" w:hAnsi="宋体" w:eastAsia="宋体" w:cs="宋体"/>
        </w:rPr>
      </w:pPr>
      <w:bookmarkStart w:id="64" w:name="_Toc3872"/>
      <w:bookmarkStart w:id="65" w:name="_Toc30566"/>
      <w:bookmarkStart w:id="66" w:name="_Toc12129"/>
      <w:bookmarkStart w:id="67" w:name="_Toc12453"/>
      <w:r>
        <w:rPr>
          <w:rFonts w:hint="eastAsia" w:ascii="宋体" w:hAnsi="宋体" w:eastAsia="宋体" w:cs="宋体"/>
          <w:lang w:val="en-US" w:eastAsia="zh-CN"/>
        </w:rPr>
        <w:t>4.2.5</w:t>
      </w:r>
      <w:r>
        <w:rPr>
          <w:rFonts w:hint="eastAsia" w:ascii="宋体" w:hAnsi="宋体" w:eastAsia="宋体" w:cs="宋体"/>
        </w:rPr>
        <w:t>区域肿瘤患者健康档案</w:t>
      </w:r>
      <w:bookmarkEnd w:id="64"/>
      <w:bookmarkEnd w:id="65"/>
      <w:bookmarkEnd w:id="66"/>
      <w:bookmarkEnd w:id="67"/>
    </w:p>
    <w:p w14:paraId="1489103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以区域全民健康档案为数据基座，生成区域肿瘤患者健康大数据，构建肿瘤患者个人健康画像。</w:t>
      </w:r>
    </w:p>
    <w:p w14:paraId="06C2AE36">
      <w:pPr>
        <w:pStyle w:val="9"/>
        <w:numPr>
          <w:ilvl w:val="0"/>
          <w:numId w:val="4"/>
        </w:numPr>
        <w:spacing w:after="156" w:afterLines="50" w:line="360" w:lineRule="auto"/>
        <w:ind w:firstLineChars="0"/>
        <w:rPr>
          <w:rFonts w:hint="eastAsia" w:ascii="宋体" w:hAnsi="宋体" w:eastAsia="宋体" w:cs="宋体"/>
          <w:b/>
          <w:bCs/>
          <w:sz w:val="28"/>
          <w:szCs w:val="28"/>
        </w:rPr>
      </w:pPr>
      <w:r>
        <w:rPr>
          <w:rFonts w:hint="eastAsia" w:ascii="宋体" w:hAnsi="宋体" w:eastAsia="宋体" w:cs="宋体"/>
          <w:b/>
          <w:bCs/>
          <w:sz w:val="28"/>
          <w:szCs w:val="28"/>
        </w:rPr>
        <w:t>全面收集健康档案</w:t>
      </w:r>
    </w:p>
    <w:p w14:paraId="1436D23D">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基础信息：包括年龄、性别、居住地等。</w:t>
      </w:r>
    </w:p>
    <w:p w14:paraId="4A779688">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病史信息：包括既往病史、家族病史、药物过敏史等。</w:t>
      </w:r>
    </w:p>
    <w:p w14:paraId="7E322EFD">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生活方式信息：饮食、运动、吸烟、饮酒情况等。</w:t>
      </w:r>
    </w:p>
    <w:p w14:paraId="22407016">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生物标志物：实验室检验、检查结果数据等。</w:t>
      </w:r>
    </w:p>
    <w:p w14:paraId="01A84139">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监测数据：日常健康数据，如血糖、血压、体重等。</w:t>
      </w:r>
    </w:p>
    <w:p w14:paraId="3B1CFB16">
      <w:pPr>
        <w:pStyle w:val="9"/>
        <w:numPr>
          <w:ilvl w:val="0"/>
          <w:numId w:val="4"/>
        </w:numPr>
        <w:spacing w:after="156" w:afterLines="50" w:line="360" w:lineRule="auto"/>
        <w:ind w:firstLineChars="0"/>
        <w:rPr>
          <w:rFonts w:hint="eastAsia" w:ascii="宋体" w:hAnsi="宋体" w:eastAsia="宋体" w:cs="宋体"/>
          <w:b/>
          <w:bCs/>
          <w:sz w:val="28"/>
          <w:szCs w:val="28"/>
        </w:rPr>
      </w:pPr>
      <w:r>
        <w:rPr>
          <w:rFonts w:hint="eastAsia" w:ascii="宋体" w:hAnsi="宋体" w:eastAsia="宋体" w:cs="宋体"/>
          <w:b/>
          <w:bCs/>
          <w:sz w:val="28"/>
          <w:szCs w:val="28"/>
        </w:rPr>
        <w:t>肿瘤相关特定数据</w:t>
      </w:r>
    </w:p>
    <w:p w14:paraId="6C927C5B">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临床诊断数据：确诊时间、肿瘤类型、分期、分型等。</w:t>
      </w:r>
    </w:p>
    <w:p w14:paraId="5E011467">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治疗数据：手术、放疗、化疗方案及效果，靶向治疗等。</w:t>
      </w:r>
    </w:p>
    <w:p w14:paraId="23C3DC9A">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随访数据：定期复查结果、副作用、复发情况等。</w:t>
      </w:r>
    </w:p>
    <w:p w14:paraId="2A2C3D4A">
      <w:pPr>
        <w:pStyle w:val="4"/>
        <w:rPr>
          <w:rFonts w:hint="eastAsia" w:ascii="宋体" w:hAnsi="宋体" w:eastAsia="宋体" w:cs="宋体"/>
        </w:rPr>
      </w:pPr>
      <w:bookmarkStart w:id="68" w:name="_Toc25923"/>
      <w:bookmarkStart w:id="69" w:name="_Toc4192"/>
      <w:bookmarkStart w:id="70" w:name="_Toc11628"/>
      <w:bookmarkStart w:id="71" w:name="_Toc3363"/>
      <w:r>
        <w:rPr>
          <w:rFonts w:hint="eastAsia" w:ascii="宋体" w:hAnsi="宋体" w:eastAsia="宋体" w:cs="宋体"/>
          <w:lang w:val="en-US" w:eastAsia="zh-CN"/>
        </w:rPr>
        <w:t>4.2.6</w:t>
      </w:r>
      <w:r>
        <w:rPr>
          <w:rFonts w:hint="eastAsia" w:ascii="宋体" w:hAnsi="宋体" w:eastAsia="宋体" w:cs="宋体"/>
        </w:rPr>
        <w:t>肿瘤患者防治</w:t>
      </w:r>
      <w:r>
        <w:rPr>
          <w:rFonts w:hint="eastAsia" w:ascii="宋体" w:hAnsi="宋体" w:eastAsia="宋体" w:cs="宋体"/>
          <w:lang w:val="en-US" w:eastAsia="zh-CN"/>
        </w:rPr>
        <w:t>康复</w:t>
      </w:r>
      <w:r>
        <w:rPr>
          <w:rFonts w:hint="eastAsia" w:ascii="宋体" w:hAnsi="宋体" w:eastAsia="宋体" w:cs="宋体"/>
        </w:rPr>
        <w:t>管理</w:t>
      </w:r>
      <w:bookmarkEnd w:id="68"/>
      <w:bookmarkEnd w:id="69"/>
      <w:bookmarkEnd w:id="70"/>
      <w:bookmarkEnd w:id="71"/>
    </w:p>
    <w:p w14:paraId="55C71AC8">
      <w:pPr>
        <w:pStyle w:val="5"/>
        <w:bidi w:val="0"/>
        <w:rPr>
          <w:rFonts w:hint="eastAsia" w:ascii="宋体" w:hAnsi="宋体" w:eastAsia="宋体" w:cs="宋体"/>
        </w:rPr>
      </w:pPr>
      <w:bookmarkStart w:id="72" w:name="_Toc11998"/>
      <w:bookmarkStart w:id="73" w:name="_Toc23728"/>
      <w:bookmarkStart w:id="74" w:name="_Toc9342"/>
      <w:r>
        <w:rPr>
          <w:rFonts w:hint="eastAsia" w:ascii="宋体" w:hAnsi="宋体" w:eastAsia="宋体" w:cs="宋体"/>
          <w:lang w:val="en-US" w:eastAsia="zh-CN"/>
        </w:rPr>
        <w:t>4.2.6.1</w:t>
      </w:r>
      <w:r>
        <w:rPr>
          <w:rFonts w:hint="eastAsia" w:ascii="宋体" w:hAnsi="宋体" w:eastAsia="宋体" w:cs="宋体"/>
        </w:rPr>
        <w:t>肿瘤健康宣教管理</w:t>
      </w:r>
      <w:bookmarkEnd w:id="72"/>
      <w:bookmarkEnd w:id="73"/>
      <w:bookmarkEnd w:id="74"/>
    </w:p>
    <w:p w14:paraId="3746415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平台为肿瘤患者提供多种形式的健康宣教服务，按不同人群类型通过微信与短信推送健康宣教内容。</w:t>
      </w:r>
    </w:p>
    <w:p w14:paraId="29A2D33D">
      <w:pPr>
        <w:spacing w:after="156" w:afterLines="50" w:line="360" w:lineRule="auto"/>
        <w:ind w:left="560" w:leftChars="200" w:firstLine="562" w:firstLineChars="200"/>
        <w:rPr>
          <w:rFonts w:hint="eastAsia" w:ascii="宋体" w:hAnsi="宋体" w:eastAsia="宋体" w:cs="宋体"/>
          <w:sz w:val="28"/>
          <w:szCs w:val="28"/>
        </w:rPr>
      </w:pPr>
      <w:r>
        <w:rPr>
          <w:rFonts w:hint="eastAsia" w:ascii="宋体" w:hAnsi="宋体" w:eastAsia="宋体" w:cs="宋体"/>
          <w:b/>
          <w:bCs/>
          <w:sz w:val="28"/>
          <w:szCs w:val="28"/>
        </w:rPr>
        <w:t>初诊患者：</w:t>
      </w:r>
      <w:r>
        <w:rPr>
          <w:rFonts w:hint="eastAsia" w:ascii="宋体" w:hAnsi="宋体" w:eastAsia="宋体" w:cs="宋体"/>
          <w:sz w:val="28"/>
          <w:szCs w:val="28"/>
        </w:rPr>
        <w:t>宣教内容：疾病基础知识介绍、初步治疗方案、心理应对方法等。</w:t>
      </w:r>
    </w:p>
    <w:p w14:paraId="2BA4B3B0">
      <w:pPr>
        <w:spacing w:after="156" w:afterLines="50" w:line="360" w:lineRule="auto"/>
        <w:ind w:left="560" w:leftChars="200" w:firstLine="562" w:firstLineChars="200"/>
        <w:rPr>
          <w:rFonts w:hint="eastAsia" w:ascii="宋体" w:hAnsi="宋体" w:eastAsia="宋体" w:cs="宋体"/>
          <w:sz w:val="28"/>
          <w:szCs w:val="28"/>
        </w:rPr>
      </w:pPr>
      <w:r>
        <w:rPr>
          <w:rFonts w:hint="eastAsia" w:ascii="宋体" w:hAnsi="宋体" w:eastAsia="宋体" w:cs="宋体"/>
          <w:b/>
          <w:bCs/>
          <w:sz w:val="28"/>
          <w:szCs w:val="28"/>
        </w:rPr>
        <w:t>治疗期患者：</w:t>
      </w:r>
      <w:r>
        <w:rPr>
          <w:rFonts w:hint="eastAsia" w:ascii="宋体" w:hAnsi="宋体" w:eastAsia="宋体" w:cs="宋体"/>
          <w:sz w:val="28"/>
          <w:szCs w:val="28"/>
        </w:rPr>
        <w:t>宣教内容：治疗方案的详细介绍、可能出现的副作用及对策、饮食调整等。</w:t>
      </w:r>
    </w:p>
    <w:p w14:paraId="411399F7">
      <w:pPr>
        <w:spacing w:after="156" w:afterLines="50" w:line="360" w:lineRule="auto"/>
        <w:ind w:left="560" w:leftChars="200" w:firstLine="562" w:firstLineChars="200"/>
        <w:rPr>
          <w:rFonts w:hint="eastAsia" w:ascii="宋体" w:hAnsi="宋体" w:eastAsia="宋体" w:cs="宋体"/>
          <w:sz w:val="28"/>
          <w:szCs w:val="28"/>
        </w:rPr>
      </w:pPr>
      <w:r>
        <w:rPr>
          <w:rFonts w:hint="eastAsia" w:ascii="宋体" w:hAnsi="宋体" w:eastAsia="宋体" w:cs="宋体"/>
          <w:b/>
          <w:bCs/>
          <w:sz w:val="28"/>
          <w:szCs w:val="28"/>
        </w:rPr>
        <w:t>康复期患者：</w:t>
      </w:r>
      <w:r>
        <w:rPr>
          <w:rFonts w:hint="eastAsia" w:ascii="宋体" w:hAnsi="宋体" w:eastAsia="宋体" w:cs="宋体"/>
          <w:sz w:val="28"/>
          <w:szCs w:val="28"/>
        </w:rPr>
        <w:t>宣教内容：康复运动指导、营养饮食建议、定期健康检查提示、复发风险预防等。</w:t>
      </w:r>
    </w:p>
    <w:p w14:paraId="1FF005B8">
      <w:pPr>
        <w:spacing w:after="156" w:afterLines="50" w:line="360" w:lineRule="auto"/>
        <w:ind w:left="560" w:leftChars="200" w:firstLine="562" w:firstLineChars="200"/>
        <w:rPr>
          <w:rFonts w:hint="eastAsia" w:ascii="宋体" w:hAnsi="宋体" w:eastAsia="宋体" w:cs="宋体"/>
          <w:sz w:val="28"/>
          <w:szCs w:val="28"/>
        </w:rPr>
      </w:pPr>
      <w:r>
        <w:rPr>
          <w:rFonts w:hint="eastAsia" w:ascii="宋体" w:hAnsi="宋体" w:eastAsia="宋体" w:cs="宋体"/>
          <w:b/>
          <w:bCs/>
          <w:sz w:val="28"/>
          <w:szCs w:val="28"/>
        </w:rPr>
        <w:t>高危人群：</w:t>
      </w:r>
      <w:r>
        <w:rPr>
          <w:rFonts w:hint="eastAsia" w:ascii="宋体" w:hAnsi="宋体" w:eastAsia="宋体" w:cs="宋体"/>
          <w:sz w:val="28"/>
          <w:szCs w:val="28"/>
        </w:rPr>
        <w:t>宣教内容：肿瘤预防知识、定期筛查建议、生活方式调整建议等。</w:t>
      </w:r>
    </w:p>
    <w:p w14:paraId="7B01A93E">
      <w:pPr>
        <w:pStyle w:val="5"/>
        <w:bidi w:val="0"/>
        <w:rPr>
          <w:rFonts w:hint="eastAsia" w:ascii="宋体" w:hAnsi="宋体" w:eastAsia="宋体" w:cs="宋体"/>
        </w:rPr>
      </w:pPr>
      <w:bookmarkStart w:id="75" w:name="_Toc2938"/>
      <w:bookmarkStart w:id="76" w:name="_Toc16958"/>
      <w:bookmarkStart w:id="77" w:name="_Toc7783"/>
      <w:r>
        <w:rPr>
          <w:rFonts w:hint="eastAsia" w:ascii="宋体" w:hAnsi="宋体" w:eastAsia="宋体" w:cs="宋体"/>
          <w:lang w:val="en-US" w:eastAsia="zh-CN"/>
        </w:rPr>
        <w:t>4.2.6.2</w:t>
      </w:r>
      <w:r>
        <w:rPr>
          <w:rFonts w:hint="eastAsia" w:ascii="宋体" w:hAnsi="宋体" w:eastAsia="宋体" w:cs="宋体"/>
        </w:rPr>
        <w:t>肿瘤早筛管理</w:t>
      </w:r>
      <w:bookmarkEnd w:id="75"/>
      <w:bookmarkEnd w:id="76"/>
      <w:bookmarkEnd w:id="77"/>
    </w:p>
    <w:p w14:paraId="1D35452B">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通过高危筛查问卷表开展全人群普筛，针对乳腺癌、甲状腺癌等恶性肿瘤依托AI智能筛查设备开展专项筛查。</w:t>
      </w:r>
    </w:p>
    <w:p w14:paraId="31124485">
      <w:pPr>
        <w:spacing w:after="156" w:afterLines="50" w:line="36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全面高危筛查问卷</w:t>
      </w:r>
    </w:p>
    <w:p w14:paraId="4B617531">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数据整合：将问卷数据上传至数据中心。</w:t>
      </w:r>
    </w:p>
    <w:p w14:paraId="3C6842AE">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初步筛查：使用高危筛查算法进行初步判断，识别出高危人群。</w:t>
      </w:r>
    </w:p>
    <w:p w14:paraId="364D9499">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数据分析：应用大数据分析技术，对筛查结果进行统计分析，确定高危人群比例和分布特征。</w:t>
      </w:r>
    </w:p>
    <w:p w14:paraId="6C98BF74">
      <w:pPr>
        <w:spacing w:after="156" w:afterLines="50" w:line="36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专项智能筛查</w:t>
      </w:r>
    </w:p>
    <w:p w14:paraId="6A9283A3">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现场筛查：患者按照预约时间前往指定筛查中心或医疗机构，进行智能筛查。</w:t>
      </w:r>
    </w:p>
    <w:p w14:paraId="5EC94687">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专家复核：筛查结果由专业医生进行复核，确保结果准确性。</w:t>
      </w:r>
    </w:p>
    <w:p w14:paraId="4D77EDE4">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结果通知：将筛查结果通过微信通知患者。</w:t>
      </w:r>
    </w:p>
    <w:p w14:paraId="4640B27D">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异常结果管理：对于筛查出异常结果的患者，引导进一步的诊断和治疗，如活检、手术等。</w:t>
      </w:r>
    </w:p>
    <w:p w14:paraId="150B6463">
      <w:pPr>
        <w:spacing w:after="156" w:afterLines="50" w:line="360" w:lineRule="auto"/>
        <w:ind w:left="560" w:leftChars="200" w:firstLine="560" w:firstLineChars="200"/>
        <w:rPr>
          <w:rFonts w:hint="eastAsia" w:ascii="宋体" w:hAnsi="宋体" w:eastAsia="宋体" w:cs="宋体"/>
          <w:sz w:val="28"/>
          <w:szCs w:val="28"/>
        </w:rPr>
      </w:pPr>
      <w:r>
        <w:rPr>
          <w:rFonts w:hint="eastAsia" w:ascii="宋体" w:hAnsi="宋体" w:eastAsia="宋体" w:cs="宋体"/>
          <w:sz w:val="28"/>
          <w:szCs w:val="28"/>
        </w:rPr>
        <w:t>随访管理：高危人群和异常筛查结果患者定期随访，进行后续筛查和健康管理。</w:t>
      </w:r>
    </w:p>
    <w:p w14:paraId="1A0267FA">
      <w:pPr>
        <w:pStyle w:val="5"/>
        <w:bidi w:val="0"/>
        <w:rPr>
          <w:rFonts w:hint="eastAsia" w:ascii="宋体" w:hAnsi="宋体" w:eastAsia="宋体" w:cs="宋体"/>
        </w:rPr>
      </w:pPr>
      <w:bookmarkStart w:id="78" w:name="_Toc27571"/>
      <w:bookmarkStart w:id="79" w:name="_Toc6360"/>
      <w:bookmarkStart w:id="80" w:name="_Toc10470"/>
      <w:r>
        <w:rPr>
          <w:rFonts w:hint="eastAsia" w:ascii="宋体" w:hAnsi="宋体" w:eastAsia="宋体" w:cs="宋体"/>
          <w:lang w:val="en-US" w:eastAsia="zh-CN"/>
        </w:rPr>
        <w:t>4.2.6.3</w:t>
      </w:r>
      <w:r>
        <w:rPr>
          <w:rFonts w:hint="eastAsia" w:ascii="宋体" w:hAnsi="宋体" w:eastAsia="宋体" w:cs="宋体"/>
        </w:rPr>
        <w:t>肿瘤高危人群管理</w:t>
      </w:r>
      <w:bookmarkEnd w:id="78"/>
      <w:bookmarkEnd w:id="79"/>
      <w:bookmarkEnd w:id="80"/>
    </w:p>
    <w:p w14:paraId="1F7179F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依托平台智能，对筛查出的高危人群进行分类分组，人群分类可根据区域内肿瘤疾病谱进行自定义调整。根据分类分组，定期推送体检提醒、健康管理建议，通过微信、短信、电话等方式进行随访。包括甲状腺癌、乳腺癌、肺癌、食管癌、胃癌、肝癌、胰腺癌、结直肠癌、前列腺癌、宫颈癌、卵巢癌高危人群等</w:t>
      </w:r>
    </w:p>
    <w:p w14:paraId="79E3C8DD">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极高危人群：安排定期全面检查（例如每3-6个月），给予个性化健康指导和早期干预措施，如营养管理、生活方式调整等，必要时进行预防性治疗。</w:t>
      </w:r>
    </w:p>
    <w:p w14:paraId="04917B7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中等高危人群：每年定期筛查，提供健康教育和生活方式指导，重点监测高危因素。</w:t>
      </w:r>
    </w:p>
    <w:p w14:paraId="552A6EE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一般高危人群：每2-3年进行一次筛查，推广健康生活方式，提供预防知识教育。</w:t>
      </w:r>
    </w:p>
    <w:p w14:paraId="6E99C481">
      <w:pPr>
        <w:pStyle w:val="5"/>
        <w:bidi w:val="0"/>
        <w:rPr>
          <w:rFonts w:hint="eastAsia" w:ascii="宋体" w:hAnsi="宋体" w:eastAsia="宋体" w:cs="宋体"/>
        </w:rPr>
      </w:pPr>
      <w:bookmarkStart w:id="81" w:name="_Toc19951"/>
      <w:bookmarkStart w:id="82" w:name="_Toc13091"/>
      <w:bookmarkStart w:id="83" w:name="_Toc8275"/>
      <w:r>
        <w:rPr>
          <w:rFonts w:hint="eastAsia" w:ascii="宋体" w:hAnsi="宋体" w:eastAsia="宋体" w:cs="宋体"/>
          <w:lang w:val="en-US" w:eastAsia="zh-CN"/>
        </w:rPr>
        <w:t>4.2.6.4</w:t>
      </w:r>
      <w:r>
        <w:rPr>
          <w:rFonts w:hint="eastAsia" w:ascii="宋体" w:hAnsi="宋体" w:eastAsia="宋体" w:cs="宋体"/>
        </w:rPr>
        <w:t>肿瘤患病人群一体化管理</w:t>
      </w:r>
      <w:bookmarkEnd w:id="81"/>
      <w:bookmarkEnd w:id="82"/>
      <w:bookmarkEnd w:id="83"/>
    </w:p>
    <w:p w14:paraId="3D7DA27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对已患病肿瘤人群，联合区域内总院专科医生与分院全科医生团队，为患者提供一体化签约管理服务。</w:t>
      </w:r>
    </w:p>
    <w:p w14:paraId="0C4A3C2B">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初筛确定</w:t>
      </w:r>
      <w:r>
        <w:rPr>
          <w:rFonts w:hint="eastAsia" w:ascii="宋体" w:hAnsi="宋体" w:eastAsia="宋体" w:cs="宋体"/>
          <w:sz w:val="28"/>
          <w:szCs w:val="28"/>
        </w:rPr>
        <w:t>：通过定期筛查发现肿瘤患者或由诊断后转诊至签约服务体系。</w:t>
      </w:r>
    </w:p>
    <w:p w14:paraId="13890E21">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首次会诊</w:t>
      </w:r>
      <w:r>
        <w:rPr>
          <w:rFonts w:hint="eastAsia" w:ascii="宋体" w:hAnsi="宋体" w:eastAsia="宋体" w:cs="宋体"/>
          <w:sz w:val="28"/>
          <w:szCs w:val="28"/>
        </w:rPr>
        <w:t>：总院专科医生为患者进行全面的初诊评估，包括病史采集、体格检查、实验室检查和影像学检查等。</w:t>
      </w:r>
    </w:p>
    <w:p w14:paraId="7F3E18E4">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签订协议</w:t>
      </w:r>
      <w:r>
        <w:rPr>
          <w:rFonts w:hint="eastAsia" w:ascii="宋体" w:hAnsi="宋体" w:eastAsia="宋体" w:cs="宋体"/>
          <w:sz w:val="28"/>
          <w:szCs w:val="28"/>
        </w:rPr>
        <w:t>：与患者签约管理服务协议，明确双方权利和义务。</w:t>
      </w:r>
    </w:p>
    <w:p w14:paraId="5DBBC4AC">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制定计划</w:t>
      </w:r>
      <w:r>
        <w:rPr>
          <w:rFonts w:hint="eastAsia" w:ascii="宋体" w:hAnsi="宋体" w:eastAsia="宋体" w:cs="宋体"/>
          <w:sz w:val="28"/>
          <w:szCs w:val="28"/>
        </w:rPr>
        <w:t>：根据患者的具体情况，制定个性化的诊疗和管理计划，包括治疗方案、随访计划、生活方式建议等。</w:t>
      </w:r>
    </w:p>
    <w:p w14:paraId="13EB5885">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管理跟踪</w:t>
      </w:r>
      <w:r>
        <w:rPr>
          <w:rFonts w:hint="eastAsia" w:ascii="宋体" w:hAnsi="宋体" w:eastAsia="宋体" w:cs="宋体"/>
          <w:sz w:val="28"/>
          <w:szCs w:val="28"/>
        </w:rPr>
        <w:t>：总院专科医生与分院全科医生共同开展管理服务。（专科医生制定管理计划，全科医生进行日常跟踪与随访）。</w:t>
      </w:r>
    </w:p>
    <w:p w14:paraId="6AF822A0">
      <w:pPr>
        <w:pStyle w:val="6"/>
        <w:bidi w:val="0"/>
        <w:rPr>
          <w:rFonts w:hint="eastAsia" w:ascii="宋体" w:hAnsi="宋体" w:eastAsia="宋体" w:cs="宋体"/>
        </w:rPr>
      </w:pPr>
      <w:bookmarkStart w:id="84" w:name="_Toc3387"/>
      <w:r>
        <w:rPr>
          <w:rFonts w:hint="eastAsia" w:ascii="宋体" w:hAnsi="宋体" w:eastAsia="宋体" w:cs="宋体"/>
          <w:lang w:eastAsia="zh-CN"/>
        </w:rPr>
        <w:t>4.2.6.4.</w:t>
      </w:r>
      <w:r>
        <w:rPr>
          <w:rFonts w:hint="eastAsia" w:ascii="宋体" w:hAnsi="宋体" w:eastAsia="宋体" w:cs="宋体"/>
        </w:rPr>
        <w:t>1甲状腺癌人群一体化管理</w:t>
      </w:r>
      <w:bookmarkEnd w:id="84"/>
    </w:p>
    <w:p w14:paraId="0CD7F7B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1）甲状腺癌患者登记卡管理功能：对于新确诊患者，支持新建登记卡，支持录入首次确诊信息、本次确诊信息。</w:t>
      </w:r>
    </w:p>
    <w:p w14:paraId="4116BFA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2）甲状腺癌档案功能：可查看患者的健康档案。</w:t>
      </w:r>
    </w:p>
    <w:p w14:paraId="1F9A808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44FD58E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4）一体化签约管理，联合区域内总院专科医生与分院全科医生团队，为甲状腺癌患者提供一体化签约管理服务。</w:t>
      </w:r>
    </w:p>
    <w:p w14:paraId="3D9A072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12262BAB">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7028655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29E2AFF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29A6D44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5522EEA2">
      <w:pPr>
        <w:pStyle w:val="6"/>
        <w:bidi w:val="0"/>
        <w:rPr>
          <w:rFonts w:hint="eastAsia" w:ascii="宋体" w:hAnsi="宋体" w:eastAsia="宋体" w:cs="宋体"/>
        </w:rPr>
      </w:pPr>
      <w:bookmarkStart w:id="85" w:name="_Toc14906"/>
      <w:r>
        <w:rPr>
          <w:rFonts w:hint="eastAsia" w:ascii="宋体" w:hAnsi="宋体" w:eastAsia="宋体" w:cs="宋体"/>
          <w:lang w:eastAsia="zh-CN"/>
        </w:rPr>
        <w:t>4.2.6.4.</w:t>
      </w:r>
      <w:r>
        <w:rPr>
          <w:rFonts w:hint="eastAsia" w:ascii="宋体" w:hAnsi="宋体" w:eastAsia="宋体" w:cs="宋体"/>
        </w:rPr>
        <w:t>2乳腺癌人群一体化管理</w:t>
      </w:r>
      <w:bookmarkEnd w:id="85"/>
    </w:p>
    <w:p w14:paraId="4457670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1）乳腺癌患者登记卡管理功能：对于新确诊患者，支持新建登记卡，支持录入首次确诊信息、本次确诊信息。</w:t>
      </w:r>
    </w:p>
    <w:p w14:paraId="38D67EA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2）乳腺癌档案功能：可查看患者的健康档案。</w:t>
      </w:r>
    </w:p>
    <w:p w14:paraId="143A4D5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18F91B6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4）一体化签约管理，联合区域内总院专科医生与分院全科医生团队，为乳腺癌患者提供一体化签约管理服务。</w:t>
      </w:r>
    </w:p>
    <w:p w14:paraId="2DD29F3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17C71B2D">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28D4414D">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096B8C6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63946A7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4FCE093B">
      <w:pPr>
        <w:pStyle w:val="6"/>
        <w:bidi w:val="0"/>
        <w:rPr>
          <w:rFonts w:hint="eastAsia" w:ascii="宋体" w:hAnsi="宋体" w:eastAsia="宋体" w:cs="宋体"/>
        </w:rPr>
      </w:pPr>
      <w:bookmarkStart w:id="86" w:name="_Toc20567"/>
      <w:r>
        <w:rPr>
          <w:rFonts w:hint="eastAsia" w:ascii="宋体" w:hAnsi="宋体" w:eastAsia="宋体" w:cs="宋体"/>
          <w:lang w:eastAsia="zh-CN"/>
        </w:rPr>
        <w:t>4.2.6.4.</w:t>
      </w:r>
      <w:r>
        <w:rPr>
          <w:rFonts w:hint="eastAsia" w:ascii="宋体" w:hAnsi="宋体" w:eastAsia="宋体" w:cs="宋体"/>
        </w:rPr>
        <w:t>3肺癌人群一体化管理</w:t>
      </w:r>
      <w:bookmarkEnd w:id="86"/>
    </w:p>
    <w:p w14:paraId="23FB3AC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1）肺癌患者登记卡管理功能：对于新确诊患者，支持新建登记卡，支持录入首次确诊信息、本次确诊信息。</w:t>
      </w:r>
    </w:p>
    <w:p w14:paraId="65F7660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2）肺癌档案功能：可查看患者的健康档案。</w:t>
      </w:r>
    </w:p>
    <w:p w14:paraId="76F4D53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32742A5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4）一体化签约管理，联合区域内总院专科医生与分院全科医生团队，为肺癌患者提供一体化签约管理服务。</w:t>
      </w:r>
    </w:p>
    <w:p w14:paraId="41C8328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1301F69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0B74C61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48CDBAF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23A893A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1C93FC35">
      <w:pPr>
        <w:pStyle w:val="6"/>
        <w:bidi w:val="0"/>
        <w:rPr>
          <w:rFonts w:hint="eastAsia" w:ascii="宋体" w:hAnsi="宋体" w:eastAsia="宋体" w:cs="宋体"/>
        </w:rPr>
      </w:pPr>
      <w:bookmarkStart w:id="87" w:name="_Toc2529"/>
      <w:r>
        <w:rPr>
          <w:rFonts w:hint="eastAsia" w:ascii="宋体" w:hAnsi="宋体" w:eastAsia="宋体" w:cs="宋体"/>
          <w:lang w:eastAsia="zh-CN"/>
        </w:rPr>
        <w:t>4.2.6.4.</w:t>
      </w:r>
      <w:r>
        <w:rPr>
          <w:rFonts w:hint="eastAsia" w:ascii="宋体" w:hAnsi="宋体" w:eastAsia="宋体" w:cs="宋体"/>
        </w:rPr>
        <w:t>4食管癌人群一体化管理</w:t>
      </w:r>
      <w:bookmarkEnd w:id="87"/>
    </w:p>
    <w:p w14:paraId="4129EEB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1）食管癌患者登记卡管理功能：对于新确诊患者，支持新建登记卡，支持录入首次确诊信息、本次确诊信息。</w:t>
      </w:r>
    </w:p>
    <w:p w14:paraId="50FE96F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2）食管癌档案功能：可查看患者的健康档案。</w:t>
      </w:r>
    </w:p>
    <w:p w14:paraId="6C468E7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260CD1D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4）一体化签约管理，联合区域内总院专科医生与分院全科医生团队，为食管癌患者提供一体化签约管理服务。</w:t>
      </w:r>
    </w:p>
    <w:p w14:paraId="02D2EBD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3CF4484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26004D6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3483050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2524D88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16F799F4">
      <w:pPr>
        <w:pStyle w:val="6"/>
        <w:bidi w:val="0"/>
        <w:rPr>
          <w:rFonts w:hint="eastAsia" w:ascii="宋体" w:hAnsi="宋体" w:eastAsia="宋体" w:cs="宋体"/>
        </w:rPr>
      </w:pPr>
      <w:bookmarkStart w:id="88" w:name="_Toc12310"/>
      <w:r>
        <w:rPr>
          <w:rFonts w:hint="eastAsia" w:ascii="宋体" w:hAnsi="宋体" w:eastAsia="宋体" w:cs="宋体"/>
          <w:lang w:eastAsia="zh-CN"/>
        </w:rPr>
        <w:t>4.2.6.4.</w:t>
      </w:r>
      <w:r>
        <w:rPr>
          <w:rFonts w:hint="eastAsia" w:ascii="宋体" w:hAnsi="宋体" w:eastAsia="宋体" w:cs="宋体"/>
        </w:rPr>
        <w:t>5胃癌人群一体化管理</w:t>
      </w:r>
      <w:bookmarkEnd w:id="88"/>
    </w:p>
    <w:p w14:paraId="0996B1C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1）胃癌患者登记卡管理功能：对于新确诊患者，支持新建登记卡，支持录入首次确诊信息、本次确诊信息。</w:t>
      </w:r>
    </w:p>
    <w:p w14:paraId="3C41674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2）胃癌档案功能：可查看患者的健康档案。</w:t>
      </w:r>
    </w:p>
    <w:p w14:paraId="51AEF1B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1620C93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4）一体化签约管理，联合区域内总院专科医生与分院全科医生团队，为胃癌者提供一体化签约管理服务。</w:t>
      </w:r>
    </w:p>
    <w:p w14:paraId="42525BC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0EAB3ED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7C3E0E3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711A366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5316DC4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34BEA7CA">
      <w:pPr>
        <w:pStyle w:val="6"/>
        <w:bidi w:val="0"/>
        <w:rPr>
          <w:rFonts w:hint="eastAsia" w:ascii="宋体" w:hAnsi="宋体" w:eastAsia="宋体" w:cs="宋体"/>
        </w:rPr>
      </w:pPr>
      <w:bookmarkStart w:id="89" w:name="_Toc12715"/>
      <w:r>
        <w:rPr>
          <w:rFonts w:hint="eastAsia" w:ascii="宋体" w:hAnsi="宋体" w:eastAsia="宋体" w:cs="宋体"/>
          <w:lang w:eastAsia="zh-CN"/>
        </w:rPr>
        <w:t>4.2.6.4.</w:t>
      </w:r>
      <w:r>
        <w:rPr>
          <w:rFonts w:hint="eastAsia" w:ascii="宋体" w:hAnsi="宋体" w:eastAsia="宋体" w:cs="宋体"/>
        </w:rPr>
        <w:t>6肝癌人群一体化管理</w:t>
      </w:r>
      <w:bookmarkEnd w:id="89"/>
    </w:p>
    <w:p w14:paraId="3E55A4D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1）肝癌患者登记卡管理功能：对于新确诊患者，支持新建登记卡，支持录入首次确诊信息、本次确诊信息。</w:t>
      </w:r>
    </w:p>
    <w:p w14:paraId="381EAB1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2）肝癌档案功能：可查看患者的健康档案。</w:t>
      </w:r>
    </w:p>
    <w:p w14:paraId="4908DB2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7CCC73B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4）一体化签约管理，联合区域内总院专科医生与分院全科医生团队，为肝癌患者提供一体化签约管理服务。</w:t>
      </w:r>
    </w:p>
    <w:p w14:paraId="6E5A6D2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1483EBE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7D18A17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1BD7BAB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3C78E1F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3F42721F">
      <w:pPr>
        <w:pStyle w:val="6"/>
        <w:bidi w:val="0"/>
        <w:rPr>
          <w:rFonts w:hint="eastAsia" w:ascii="宋体" w:hAnsi="宋体" w:eastAsia="宋体" w:cs="宋体"/>
        </w:rPr>
      </w:pPr>
      <w:bookmarkStart w:id="90" w:name="_Toc19004"/>
      <w:r>
        <w:rPr>
          <w:rFonts w:hint="eastAsia" w:ascii="宋体" w:hAnsi="宋体" w:eastAsia="宋体" w:cs="宋体"/>
          <w:lang w:eastAsia="zh-CN"/>
        </w:rPr>
        <w:t>4.2.6.4.</w:t>
      </w:r>
      <w:r>
        <w:rPr>
          <w:rFonts w:hint="eastAsia" w:ascii="宋体" w:hAnsi="宋体" w:eastAsia="宋体" w:cs="宋体"/>
        </w:rPr>
        <w:t>7胰腺癌人群一体化管理</w:t>
      </w:r>
      <w:bookmarkEnd w:id="90"/>
    </w:p>
    <w:p w14:paraId="322E87F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1）胰腺癌患者登记卡管理功能：对于新确诊患者，支持新建登记卡，支持录入首次确诊信息、本次确诊信息。</w:t>
      </w:r>
    </w:p>
    <w:p w14:paraId="2411F8C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2）胰腺癌档案功能：可查看患者的健康档案。</w:t>
      </w:r>
    </w:p>
    <w:p w14:paraId="575D1A6D">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39A3D9E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4）一体化签约管理，联合区域内总院专科医生与分院全科医生团队，为胰腺癌患者提供一体化签约管理服务。</w:t>
      </w:r>
    </w:p>
    <w:p w14:paraId="5EC5ED1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7AFEB03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4C94A01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5CA762C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712A6B2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19E2C0C0">
      <w:pPr>
        <w:pStyle w:val="6"/>
        <w:bidi w:val="0"/>
        <w:rPr>
          <w:rFonts w:hint="eastAsia" w:ascii="宋体" w:hAnsi="宋体" w:eastAsia="宋体" w:cs="宋体"/>
        </w:rPr>
      </w:pPr>
      <w:bookmarkStart w:id="91" w:name="_Toc31436"/>
      <w:r>
        <w:rPr>
          <w:rFonts w:hint="eastAsia" w:ascii="宋体" w:hAnsi="宋体" w:eastAsia="宋体" w:cs="宋体"/>
          <w:lang w:eastAsia="zh-CN"/>
        </w:rPr>
        <w:t>4.2.6.4.</w:t>
      </w:r>
      <w:r>
        <w:rPr>
          <w:rFonts w:hint="eastAsia" w:ascii="宋体" w:hAnsi="宋体" w:eastAsia="宋体" w:cs="宋体"/>
        </w:rPr>
        <w:t>8结直肠癌人群一体化管理</w:t>
      </w:r>
      <w:bookmarkEnd w:id="91"/>
    </w:p>
    <w:p w14:paraId="1FA9091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1）结直肠癌患者登记卡管理功能：对于新确诊患者，支持新建登记卡，支持录入首次确诊信息、本次确诊信息。</w:t>
      </w:r>
    </w:p>
    <w:p w14:paraId="4FA0C78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2）结直肠癌档案功能：可查看患者的健康档案。</w:t>
      </w:r>
    </w:p>
    <w:p w14:paraId="6A40745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3D55AE1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4）一体化签约管理，联合区域内总院专科医生与分院全科医生团队，为结直肠癌患者提供一体化签约管理服务。</w:t>
      </w:r>
    </w:p>
    <w:p w14:paraId="33C948C4">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55DA924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7B52908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75389D2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7794297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3FFC6110">
      <w:pPr>
        <w:pStyle w:val="6"/>
        <w:bidi w:val="0"/>
        <w:rPr>
          <w:rFonts w:hint="eastAsia" w:ascii="宋体" w:hAnsi="宋体" w:eastAsia="宋体" w:cs="宋体"/>
        </w:rPr>
      </w:pPr>
      <w:bookmarkStart w:id="92" w:name="_Toc17345"/>
      <w:r>
        <w:rPr>
          <w:rFonts w:hint="eastAsia" w:ascii="宋体" w:hAnsi="宋体" w:eastAsia="宋体" w:cs="宋体"/>
          <w:lang w:eastAsia="zh-CN"/>
        </w:rPr>
        <w:t>4.2.6.4.</w:t>
      </w:r>
      <w:r>
        <w:rPr>
          <w:rFonts w:hint="eastAsia" w:ascii="宋体" w:hAnsi="宋体" w:eastAsia="宋体" w:cs="宋体"/>
        </w:rPr>
        <w:t>9前列腺癌人群一体化管理</w:t>
      </w:r>
      <w:bookmarkEnd w:id="92"/>
    </w:p>
    <w:p w14:paraId="0C78A55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1）前列腺癌患者登记卡管理功能：对于新确诊患者，支持新建登记卡，支持录入首次确诊信息、本次确诊信息。</w:t>
      </w:r>
    </w:p>
    <w:p w14:paraId="61DE119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2）前列腺癌档案功能：可查看患者的健康档案。</w:t>
      </w:r>
    </w:p>
    <w:p w14:paraId="373779A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5F35CF8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4）一体化签约管理，联合区域内总院专科医生与分院全科医生团队，为前列腺癌患者提供一体化签约管理服务。</w:t>
      </w:r>
    </w:p>
    <w:p w14:paraId="00DBB60B">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2C563BB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5947BCD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0FDC391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6578777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1459B0F4">
      <w:pPr>
        <w:pStyle w:val="6"/>
        <w:bidi w:val="0"/>
        <w:rPr>
          <w:rFonts w:hint="eastAsia" w:ascii="宋体" w:hAnsi="宋体" w:eastAsia="宋体" w:cs="宋体"/>
        </w:rPr>
      </w:pPr>
      <w:bookmarkStart w:id="93" w:name="_Toc15524"/>
      <w:r>
        <w:rPr>
          <w:rFonts w:hint="eastAsia" w:ascii="宋体" w:hAnsi="宋体" w:eastAsia="宋体" w:cs="宋体"/>
          <w:lang w:eastAsia="zh-CN"/>
        </w:rPr>
        <w:t>4.2.6.4.</w:t>
      </w:r>
      <w:r>
        <w:rPr>
          <w:rFonts w:hint="eastAsia" w:ascii="宋体" w:hAnsi="宋体" w:eastAsia="宋体" w:cs="宋体"/>
        </w:rPr>
        <w:t>10宫颈癌人群一体化管理</w:t>
      </w:r>
      <w:bookmarkEnd w:id="93"/>
    </w:p>
    <w:p w14:paraId="2891C9A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1）宫颈癌患者登记卡管理功能：对于新确诊患者，支持新建登记卡，支持录入首次确诊信息、本次确诊信息。</w:t>
      </w:r>
    </w:p>
    <w:p w14:paraId="374D4EA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2）宫颈癌档案功能：可查看患者的健康档案。</w:t>
      </w:r>
    </w:p>
    <w:p w14:paraId="168A685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30B5DEF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4）一体化签约管理，联合区域内总院专科医生与分院全科医生团队，为宫颈癌患者提供一体化签约管理服务。</w:t>
      </w:r>
    </w:p>
    <w:p w14:paraId="6FE663B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1FE652D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61F9D2F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24AB71B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74C02C7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2230CAD0">
      <w:pPr>
        <w:pStyle w:val="6"/>
        <w:bidi w:val="0"/>
        <w:rPr>
          <w:rFonts w:hint="eastAsia" w:ascii="宋体" w:hAnsi="宋体" w:eastAsia="宋体" w:cs="宋体"/>
        </w:rPr>
      </w:pPr>
      <w:bookmarkStart w:id="94" w:name="_Toc27562"/>
      <w:r>
        <w:rPr>
          <w:rFonts w:hint="eastAsia" w:ascii="宋体" w:hAnsi="宋体" w:eastAsia="宋体" w:cs="宋体"/>
          <w:lang w:eastAsia="zh-CN"/>
        </w:rPr>
        <w:t>4.2.6.4.</w:t>
      </w:r>
      <w:r>
        <w:rPr>
          <w:rFonts w:hint="eastAsia" w:ascii="宋体" w:hAnsi="宋体" w:eastAsia="宋体" w:cs="宋体"/>
        </w:rPr>
        <w:t>11卵巢癌人群一体化管理</w:t>
      </w:r>
      <w:bookmarkEnd w:id="94"/>
    </w:p>
    <w:p w14:paraId="637719FB">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1）卵巢癌患者登记卡管理功能：对于新确诊患者，支持新建登记卡，支持录入首次确诊信息、本次确诊信息。</w:t>
      </w:r>
    </w:p>
    <w:p w14:paraId="255F220D">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2）卵巢癌档案功能：可查看患者的健康档案。</w:t>
      </w:r>
    </w:p>
    <w:p w14:paraId="462BE74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3）医疗信息查阅：可以查阅患者在区域内的就诊记录，体检记录，检验/检查记录，也可查阅患者的血压、血糖、体重数值记录图表等综合信息。</w:t>
      </w:r>
    </w:p>
    <w:p w14:paraId="055F3E5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4）一体化签约管理，联合区域内总院专科医生与分院全科医生团队，为卵巢癌患者提供一体化签约管理服务。</w:t>
      </w:r>
    </w:p>
    <w:p w14:paraId="43C435D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5）具有健康处方功能，在该模块对患者开具健康处方，支持饮食、运动、心理、中医、戒烟等健康处方模板。</w:t>
      </w:r>
    </w:p>
    <w:p w14:paraId="03D2616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6）具有随访功能，在该模块下能直接对患者进行随访管理。</w:t>
      </w:r>
    </w:p>
    <w:p w14:paraId="0BD455E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7）具有患者工作台下的转诊功能，可对该患者进行上下级的转诊。</w:t>
      </w:r>
    </w:p>
    <w:p w14:paraId="4D59887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8）具有康复管理模块，为有康复管理需求的患者提供个性化生活方式干预服务，包含营养、运动、心理、睡眠等内容。</w:t>
      </w:r>
    </w:p>
    <w:p w14:paraId="719CB344">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9）系统支持人群自动识别，支持人群分类筛选。</w:t>
      </w:r>
    </w:p>
    <w:p w14:paraId="049BAE45">
      <w:pPr>
        <w:pStyle w:val="5"/>
        <w:bidi w:val="0"/>
        <w:rPr>
          <w:rFonts w:hint="eastAsia" w:ascii="宋体" w:hAnsi="宋体" w:eastAsia="宋体" w:cs="宋体"/>
        </w:rPr>
      </w:pPr>
      <w:bookmarkStart w:id="95" w:name="_Toc4795"/>
      <w:bookmarkStart w:id="96" w:name="_Toc5943"/>
      <w:bookmarkStart w:id="97" w:name="_Toc28589"/>
      <w:r>
        <w:rPr>
          <w:rFonts w:hint="eastAsia" w:ascii="宋体" w:hAnsi="宋体" w:eastAsia="宋体" w:cs="宋体"/>
          <w:lang w:val="en-US" w:eastAsia="zh-CN"/>
        </w:rPr>
        <w:t>4.2.6.5</w:t>
      </w:r>
      <w:r>
        <w:rPr>
          <w:rFonts w:hint="eastAsia" w:ascii="宋体" w:hAnsi="宋体" w:eastAsia="宋体" w:cs="宋体"/>
        </w:rPr>
        <w:t>肿瘤患病人群个案康复管理</w:t>
      </w:r>
      <w:bookmarkEnd w:id="95"/>
      <w:bookmarkEnd w:id="96"/>
      <w:bookmarkEnd w:id="97"/>
    </w:p>
    <w:p w14:paraId="57ECC074">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为有康复管理需求的患者提供个性化康复管理服务，包含营养、运动、心理、睡眠等内容。</w:t>
      </w:r>
      <w:bookmarkStart w:id="170" w:name="_GoBack"/>
      <w:bookmarkEnd w:id="170"/>
    </w:p>
    <w:p w14:paraId="63675BF0">
      <w:pPr>
        <w:spacing w:after="156" w:afterLines="50" w:line="36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初步评估</w:t>
      </w:r>
    </w:p>
    <w:p w14:paraId="296D021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问卷调查：通过线上/线下问卷对患者的营养、运动、心理、睡眠等方面进行初步评估。</w:t>
      </w:r>
    </w:p>
    <w:p w14:paraId="18CF49FA">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健康档案：参考患者的电子健康档案，了解其病史、治疗过程及当前健康状况。</w:t>
      </w:r>
    </w:p>
    <w:p w14:paraId="24275D7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临床检查：通过体格检查、实验室检查、影像学检查等方式，了解患者的身体状况。</w:t>
      </w:r>
    </w:p>
    <w:p w14:paraId="725B5489">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营养管理</w:t>
      </w:r>
    </w:p>
    <w:p w14:paraId="50C4323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营养评估：通过详细的营养评估，了解患者的饮食习惯和营养状况。</w:t>
      </w:r>
    </w:p>
    <w:p w14:paraId="33A03A51">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营养方案：根据评估结果，制定个性化的饮食方案，包括每日摄入的营养素、食物种类及烹饪方法。</w:t>
      </w:r>
    </w:p>
    <w:p w14:paraId="292105C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强化营养支持：对于需要特殊营养支持的患者，如放化疗后恢复期患者，提供营养补充剂和特定饮食指导。</w:t>
      </w:r>
    </w:p>
    <w:p w14:paraId="5587773A">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运动管理</w:t>
      </w:r>
    </w:p>
    <w:p w14:paraId="7C305597">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运动评估：评估患者的身体活动能力和运动限制。</w:t>
      </w:r>
    </w:p>
    <w:p w14:paraId="1994FBE6">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运动方案：根据患者的具体情况，制定适合的运动方案，包括有氧运动、力量训练、柔韧性练习等，确定运动频次和时长。</w:t>
      </w:r>
    </w:p>
    <w:p w14:paraId="6EE199B2">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运动监控：通过可穿戴设备实时监测患者的运动情况，提供反馈和调整方案。</w:t>
      </w:r>
    </w:p>
    <w:p w14:paraId="2F39C546">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心理管理</w:t>
      </w:r>
    </w:p>
    <w:p w14:paraId="1AEA37AF">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心理评估：通过心理问卷、面谈等方式，评估患者的心理健康状况。</w:t>
      </w:r>
    </w:p>
    <w:p w14:paraId="085CCBC3">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心理支持：提供个性化的心理辅导、应对技巧培训，缓解患者的焦虑、抑郁等负面情绪。</w:t>
      </w:r>
    </w:p>
    <w:p w14:paraId="3C4789F0">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心理干预：必要时，安排专业的心理治疗和药物治疗。</w:t>
      </w:r>
    </w:p>
    <w:p w14:paraId="4F51B501">
      <w:pPr>
        <w:spacing w:after="156" w:afterLines="50"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睡眠管理</w:t>
      </w:r>
    </w:p>
    <w:p w14:paraId="0B22BCA8">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睡眠评估：通过睡眠问卷、睡眠监测设备等方式，评估患者的睡眠质量和睡眠问题。</w:t>
      </w:r>
    </w:p>
    <w:p w14:paraId="26ED99EB">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睡眠指导：提供个性化的睡眠卫生教育和行为指导，改善睡眠环境和习惯。</w:t>
      </w:r>
    </w:p>
    <w:p w14:paraId="14C8D7FD">
      <w:pPr>
        <w:spacing w:after="156" w:afterLines="50" w:line="360" w:lineRule="auto"/>
        <w:jc w:val="center"/>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438140" cy="1969135"/>
            <wp:effectExtent l="0" t="0" r="10160" b="12065"/>
            <wp:docPr id="85" name="图片 85" descr="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18"/>
                    <pic:cNvPicPr>
                      <a:picLocks noChangeAspect="1"/>
                    </pic:cNvPicPr>
                  </pic:nvPicPr>
                  <pic:blipFill>
                    <a:blip r:embed="rId6"/>
                    <a:stretch>
                      <a:fillRect/>
                    </a:stretch>
                  </pic:blipFill>
                  <pic:spPr>
                    <a:xfrm>
                      <a:off x="0" y="0"/>
                      <a:ext cx="5438140" cy="1969135"/>
                    </a:xfrm>
                    <a:prstGeom prst="rect">
                      <a:avLst/>
                    </a:prstGeom>
                  </pic:spPr>
                </pic:pic>
              </a:graphicData>
            </a:graphic>
          </wp:inline>
        </w:drawing>
      </w:r>
    </w:p>
    <w:p w14:paraId="6470CBB2">
      <w:pPr>
        <w:spacing w:after="156" w:afterLines="50" w:line="360" w:lineRule="auto"/>
        <w:jc w:val="center"/>
        <w:rPr>
          <w:rFonts w:hint="eastAsia" w:ascii="宋体" w:hAnsi="宋体" w:eastAsia="宋体" w:cs="宋体"/>
          <w:sz w:val="28"/>
          <w:szCs w:val="28"/>
        </w:rPr>
      </w:pPr>
      <w:r>
        <w:rPr>
          <w:rFonts w:hint="eastAsia" w:ascii="宋体" w:hAnsi="宋体" w:eastAsia="宋体" w:cs="宋体"/>
          <w:sz w:val="28"/>
          <w:szCs w:val="28"/>
        </w:rPr>
        <w:t>肿瘤患者康复管理流程</w:t>
      </w:r>
    </w:p>
    <w:p w14:paraId="546A9B90">
      <w:pPr>
        <w:pStyle w:val="4"/>
        <w:rPr>
          <w:rFonts w:hint="eastAsia" w:ascii="宋体" w:hAnsi="宋体" w:eastAsia="宋体" w:cs="宋体"/>
          <w:lang w:val="en-US" w:eastAsia="zh-CN"/>
        </w:rPr>
      </w:pPr>
      <w:bookmarkStart w:id="98" w:name="_Toc15756"/>
      <w:bookmarkStart w:id="99" w:name="_Toc16727"/>
      <w:bookmarkStart w:id="100" w:name="_Toc12720"/>
      <w:bookmarkStart w:id="101" w:name="_Toc23468"/>
      <w:r>
        <w:rPr>
          <w:rFonts w:hint="eastAsia" w:ascii="宋体" w:hAnsi="宋体" w:eastAsia="宋体" w:cs="宋体"/>
          <w:lang w:val="en-US" w:eastAsia="zh-CN"/>
        </w:rPr>
        <w:t>4.2.7患者管理业务应用</w:t>
      </w:r>
      <w:bookmarkEnd w:id="98"/>
      <w:bookmarkEnd w:id="99"/>
    </w:p>
    <w:p w14:paraId="3A1FBB77">
      <w:pPr>
        <w:pStyle w:val="5"/>
        <w:bidi w:val="0"/>
        <w:rPr>
          <w:rFonts w:hint="eastAsia" w:ascii="宋体" w:hAnsi="宋体" w:eastAsia="宋体" w:cs="宋体"/>
          <w:lang w:val="en-US" w:eastAsia="zh-CN"/>
        </w:rPr>
      </w:pPr>
      <w:bookmarkStart w:id="102" w:name="_Toc28475"/>
      <w:bookmarkStart w:id="103" w:name="_Toc26559"/>
      <w:r>
        <w:rPr>
          <w:rFonts w:hint="eastAsia" w:ascii="宋体" w:hAnsi="宋体" w:eastAsia="宋体" w:cs="宋体"/>
          <w:lang w:val="en-US" w:eastAsia="zh-CN"/>
        </w:rPr>
        <w:t>4.2.7.1</w:t>
      </w:r>
      <w:bookmarkEnd w:id="102"/>
      <w:bookmarkStart w:id="104" w:name="_Toc26168"/>
      <w:r>
        <w:rPr>
          <w:rFonts w:hint="eastAsia" w:ascii="宋体" w:hAnsi="宋体" w:eastAsia="宋体" w:cs="宋体"/>
          <w:lang w:val="en-US" w:eastAsia="zh-CN"/>
        </w:rPr>
        <w:t>居民健康画像</w:t>
      </w:r>
      <w:bookmarkEnd w:id="103"/>
      <w:bookmarkEnd w:id="104"/>
    </w:p>
    <w:p w14:paraId="1EED1A2E">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构建居民个人健康画像，智能呈现居民基本信息、当前健康状态、既往史、家族史、当前签约服务状态以及居民在区域内的所有门诊诊疗、住院诊疗、健康体检、检验检查信息等内容，实现区域内各级医疗机构的医务人员对居民健康状态的“一目了然”。</w:t>
      </w:r>
    </w:p>
    <w:p w14:paraId="0C822002">
      <w:pPr>
        <w:pStyle w:val="5"/>
        <w:bidi w:val="0"/>
        <w:rPr>
          <w:rFonts w:hint="eastAsia" w:ascii="宋体" w:hAnsi="宋体" w:eastAsia="宋体" w:cs="宋体"/>
          <w:lang w:val="en-US" w:eastAsia="zh-CN"/>
        </w:rPr>
      </w:pPr>
      <w:bookmarkStart w:id="105" w:name="_Toc2338"/>
      <w:bookmarkStart w:id="106" w:name="_Toc12025"/>
      <w:r>
        <w:rPr>
          <w:rFonts w:hint="eastAsia" w:ascii="宋体" w:hAnsi="宋体" w:eastAsia="宋体" w:cs="宋体"/>
          <w:lang w:val="en-US" w:eastAsia="zh-CN"/>
        </w:rPr>
        <w:t>4.2.7.2区域居民分类筛选</w:t>
      </w:r>
      <w:bookmarkEnd w:id="105"/>
      <w:bookmarkEnd w:id="106"/>
    </w:p>
    <w:p w14:paraId="4A40FF41">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支持主要肿瘤高危人群筛查，主要恶性肿瘤人群的风险评估与分类管理，并对分类结果进行标记和相关数据的统计分析。</w:t>
      </w:r>
    </w:p>
    <w:p w14:paraId="08C7DEAA">
      <w:pPr>
        <w:pStyle w:val="5"/>
        <w:bidi w:val="0"/>
        <w:rPr>
          <w:rFonts w:hint="eastAsia" w:ascii="宋体" w:hAnsi="宋体" w:eastAsia="宋体" w:cs="宋体"/>
          <w:lang w:val="en-US" w:eastAsia="zh-CN"/>
        </w:rPr>
      </w:pPr>
      <w:bookmarkStart w:id="107" w:name="_Toc9529"/>
      <w:bookmarkStart w:id="108" w:name="_Toc31870"/>
      <w:r>
        <w:rPr>
          <w:rFonts w:hint="eastAsia" w:ascii="宋体" w:hAnsi="宋体" w:eastAsia="宋体" w:cs="宋体"/>
          <w:lang w:val="en-US" w:eastAsia="zh-CN"/>
        </w:rPr>
        <w:t>4.2.7.3全科医生工作台</w:t>
      </w:r>
      <w:bookmarkEnd w:id="107"/>
      <w:bookmarkEnd w:id="108"/>
    </w:p>
    <w:p w14:paraId="7CA32CC2">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系统具备全科医生统计本乡镇人口概况和恶性肿瘤人群分布概况的功能，提供待随访、超期未随访、一体化签约过期及转诊待接收提醒，今日工作量统计（新增签约、肿瘤登记、肿瘤随访、健康处方、上转人数），并支持当前医生团队一体化签约居民列表查看功能。</w:t>
      </w:r>
    </w:p>
    <w:p w14:paraId="4FB2E0BA">
      <w:pPr>
        <w:pStyle w:val="5"/>
        <w:bidi w:val="0"/>
        <w:rPr>
          <w:rFonts w:hint="eastAsia" w:ascii="宋体" w:hAnsi="宋体" w:eastAsia="宋体" w:cs="宋体"/>
          <w:lang w:val="en-US" w:eastAsia="zh-CN"/>
        </w:rPr>
      </w:pPr>
      <w:bookmarkStart w:id="109" w:name="_Toc28578"/>
      <w:bookmarkStart w:id="110" w:name="_Toc18882"/>
      <w:r>
        <w:rPr>
          <w:rFonts w:hint="eastAsia" w:ascii="宋体" w:hAnsi="宋体" w:eastAsia="宋体" w:cs="宋体"/>
          <w:lang w:val="en-US" w:eastAsia="zh-CN"/>
        </w:rPr>
        <w:t>4.2.7.4专科医生工作台</w:t>
      </w:r>
      <w:bookmarkEnd w:id="109"/>
      <w:bookmarkEnd w:id="110"/>
    </w:p>
    <w:p w14:paraId="4DCD129E">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系统具备专科医生一体化签约团队待办事项提醒（随访待办、签约已过期提醒、转诊待接收提醒）、今日工作量统计（新增签约、肿瘤登记、肿瘤随访、健康处方、下转人数）及恶性肿瘤随访统计（按月、季、半年、年及自定义时间段）功能。</w:t>
      </w:r>
    </w:p>
    <w:p w14:paraId="06F12270">
      <w:pPr>
        <w:pStyle w:val="5"/>
        <w:bidi w:val="0"/>
        <w:rPr>
          <w:rFonts w:hint="eastAsia" w:ascii="宋体" w:hAnsi="宋体" w:eastAsia="宋体" w:cs="宋体"/>
          <w:lang w:val="en-US" w:eastAsia="zh-CN"/>
        </w:rPr>
      </w:pPr>
      <w:bookmarkStart w:id="111" w:name="_Toc5648"/>
      <w:bookmarkStart w:id="112" w:name="_Toc30957"/>
      <w:r>
        <w:rPr>
          <w:rFonts w:hint="eastAsia" w:ascii="宋体" w:hAnsi="宋体" w:eastAsia="宋体" w:cs="宋体"/>
          <w:lang w:val="en-US" w:eastAsia="zh-CN"/>
        </w:rPr>
        <w:t>4.2.7.5居民个人工作台</w:t>
      </w:r>
      <w:bookmarkEnd w:id="111"/>
      <w:bookmarkEnd w:id="112"/>
    </w:p>
    <w:p w14:paraId="34077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提供居民个人工作台管理，查可以阅基本信息、健康状态、既往史、家族史、签约状态及在管医生、最新检测指标，支持按时间筛选血压、血糖、体重等变化情况，智能查阅区域内门诊、住院、体检、检查及检验记录。</w:t>
      </w:r>
    </w:p>
    <w:p w14:paraId="155F59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（2）系统支持新发现肿瘤患者的登记，包含肿瘤类型、基本信息、发病信息、TNM分期信息等内容。</w:t>
      </w:r>
    </w:p>
    <w:p w14:paraId="1C8CC6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提供一体化签约管理服务，支持甲状腺癌、乳腺癌、肺癌、食管癌、胃癌、肝癌、胰腺癌、结直肠癌、前列腺癌、宫颈癌、卵巢癌等恶性肿瘤的签约服务，包括服务包设置、签约团队设置和签约期限等内容。</w:t>
      </w:r>
    </w:p>
    <w:p w14:paraId="1902C8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（4）具备</w:t>
      </w:r>
      <w:r>
        <w:rPr>
          <w:rFonts w:hint="eastAsia" w:ascii="宋体" w:hAnsi="宋体" w:eastAsia="宋体" w:cs="宋体"/>
          <w:lang w:val="en-US" w:eastAsia="zh-CN"/>
        </w:rPr>
        <w:t>县</w:t>
      </w:r>
      <w:r>
        <w:rPr>
          <w:rFonts w:hint="eastAsia" w:ascii="宋体" w:hAnsi="宋体" w:eastAsia="宋体" w:cs="宋体"/>
          <w:lang w:val="en-US" w:eastAsia="zh-CN"/>
        </w:rPr>
        <w:t>乡村三级双向转诊功能，可接收上级下转的患者，医生可上转管理不良的患者。平台支持转诊统计与分析，包括转诊机构、转诊原因、初步诊断、申请机构、申请科室、申请医生等内容。</w:t>
      </w:r>
    </w:p>
    <w:p w14:paraId="5DE2BE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提供随访管理服务，支持甲状腺癌、乳腺癌、肺癌、食管癌、胃癌、肝癌、胰腺癌、结直肠癌、前列腺癌、宫颈癌、卵巢癌等恶性肿瘤，包括基础信息、体征指标、生活方式指导、用药随访等内容，支持导入上次随访数据和患者用药信息，提高随访效率。</w:t>
      </w:r>
    </w:p>
    <w:p w14:paraId="10BE3B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（6）提供患者处方开具，涵盖饮食、运动、心理、中医、用药、疫苗、戒烟等内容，配有健康处方库，支持分类标签筛选，医生可直接引入相关健康处方模板。</w:t>
      </w:r>
    </w:p>
    <w:p w14:paraId="2BAB3C03">
      <w:pPr>
        <w:pStyle w:val="5"/>
        <w:bidi w:val="0"/>
        <w:rPr>
          <w:rFonts w:hint="eastAsia" w:ascii="宋体" w:hAnsi="宋体" w:eastAsia="宋体" w:cs="宋体"/>
          <w:lang w:val="en-US" w:eastAsia="zh-CN"/>
        </w:rPr>
      </w:pPr>
      <w:bookmarkStart w:id="113" w:name="_Toc15673"/>
      <w:bookmarkStart w:id="114" w:name="_Toc11446"/>
      <w:r>
        <w:rPr>
          <w:rFonts w:hint="eastAsia" w:ascii="宋体" w:hAnsi="宋体" w:eastAsia="宋体" w:cs="宋体"/>
          <w:lang w:val="en-US" w:eastAsia="zh-CN"/>
        </w:rPr>
        <w:t>4.2.7.6康复管理工作台</w:t>
      </w:r>
      <w:bookmarkEnd w:id="113"/>
      <w:bookmarkEnd w:id="114"/>
    </w:p>
    <w:p w14:paraId="2A6177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系统支持需求患者提供个性化生活方式干预服务，包括营养、运动、心理及睡眠等内容，具备待办事项提醒（随访待办、签约过期、转诊待接收），以及今日工作量统计（随访数量、健康处方开具数量、管理签约数量）功能。</w:t>
      </w:r>
    </w:p>
    <w:p w14:paraId="6FAD53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（2）系统支持康复签约管理，包括服务包制定与修改、多重查询条件查找患者、便捷签约功能。签约后自动生成患者签约管理列表，签约医生可通过多重查询条件筛选查看个人患者签约列表。</w:t>
      </w:r>
    </w:p>
    <w:p w14:paraId="1B0328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系统支持评估模板库管理，提供多类标准健康评估量表，包括肿瘤康复营养筛查(NRS-2002)、体力状态评估[卡氏]、躯体功能评估、焦虑自评量表(SAS)、抑郁自测量表(SDS)、老年抑郁自评量表等，为患者提供营养、心理、运动、睡眠评估服务。</w:t>
      </w:r>
    </w:p>
    <w:p w14:paraId="6E5771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（4）系统支持信息登记，按时间记录患者的身高、体重、小腿围、当前健康状态描述等内容。</w:t>
      </w:r>
    </w:p>
    <w:p w14:paraId="3D2A6A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（5）系统支持健康评估，根据患者需求提供评估服务，自动从模板库提取相关量表，包括营养、心理、运动、睡眠等类别。</w:t>
      </w:r>
    </w:p>
    <w:p w14:paraId="360D26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（6）系统支持个案管理，医务人员可根据患者不同阶段的健康状况制定阶段性健康目标，并智能呈现个案管理情况，支持按时间筛选和查阅患者的历史个案目标。</w:t>
      </w:r>
    </w:p>
    <w:p w14:paraId="580E0D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（7）系统支持营养管理，通过详细的营养评估了解患者饮食习惯和营养状况，医务人员为患者制定个性化饮食方案。</w:t>
      </w:r>
    </w:p>
    <w:p w14:paraId="02B24B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（8）系统支持运动管理，通过评估患者的身体活动能力和运动限制，制定适合的有氧运动、力量训练和柔韧性练习的运动方案，确定运动频次和时长，并通过可穿戴设备实时监测和反馈，提供调整方案。</w:t>
      </w:r>
    </w:p>
    <w:p w14:paraId="282C5F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（9）系统支持心理管理，通过心理问卷和面谈评估患者的心理健康状况，提供个性化心理辅导和应对技巧培训。</w:t>
      </w:r>
    </w:p>
    <w:p w14:paraId="234B16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（10）系统支持睡眠管理，通过睡眠问卷和睡眠监测设备评估患者的睡眠质量和问题，提供个性化睡眠卫生教育和行为指导，改善睡眠环境和习惯。</w:t>
      </w:r>
    </w:p>
    <w:p w14:paraId="0A446F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（11）系统支持根据患者阶段性管理成效，填写康复总结并生成阶段性康复管理报告，支持通过链接或二维码分享并在手机端查看，同时支持单独查看不同的康复报告。</w:t>
      </w:r>
    </w:p>
    <w:p w14:paraId="65FF6B62">
      <w:pPr>
        <w:pStyle w:val="5"/>
        <w:bidi w:val="0"/>
        <w:rPr>
          <w:rFonts w:hint="eastAsia" w:ascii="宋体" w:hAnsi="宋体" w:eastAsia="宋体" w:cs="宋体"/>
          <w:lang w:val="en-US" w:eastAsia="zh-CN"/>
        </w:rPr>
      </w:pPr>
      <w:bookmarkStart w:id="115" w:name="_Toc30425"/>
      <w:bookmarkStart w:id="116" w:name="_Toc14879"/>
      <w:r>
        <w:rPr>
          <w:rFonts w:hint="eastAsia" w:ascii="宋体" w:hAnsi="宋体" w:eastAsia="宋体" w:cs="宋体"/>
          <w:lang w:val="en-US" w:eastAsia="zh-CN"/>
        </w:rPr>
        <w:t>4.2.7.7人群标签管理</w:t>
      </w:r>
      <w:bookmarkEnd w:id="115"/>
      <w:bookmarkEnd w:id="116"/>
    </w:p>
    <w:p w14:paraId="46CA4E7B">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系统可根据居民不同的健康状态添加人群标签属性，如胰腺癌、食管癌、胃癌、肝癌、结直肠癌、乳腺癌、宫颈癌、前列腺癌、卵巢癌、甲状腺癌、肺癌及各类高危人群，并支持自定义标签。</w:t>
      </w:r>
    </w:p>
    <w:p w14:paraId="7414A45B">
      <w:pPr>
        <w:rPr>
          <w:rFonts w:hint="eastAsia" w:ascii="宋体" w:hAnsi="宋体" w:eastAsia="宋体" w:cs="宋体"/>
          <w:lang w:val="en-US" w:eastAsia="zh-CN"/>
        </w:rPr>
      </w:pPr>
      <w:r>
        <w:rPr>
          <w:rFonts w:hint="eastAsia" w:ascii="宋体" w:hAnsi="宋体" w:eastAsia="宋体" w:cs="宋体"/>
          <w:lang w:val="en-US" w:eastAsia="zh-CN"/>
        </w:rPr>
        <w:t>转诊记录管理：具备统计管理</w:t>
      </w:r>
      <w:r>
        <w:rPr>
          <w:rFonts w:hint="eastAsia" w:ascii="宋体" w:hAnsi="宋体" w:eastAsia="宋体" w:cs="宋体"/>
          <w:lang w:val="en-US" w:eastAsia="zh-CN"/>
        </w:rPr>
        <w:t>县</w:t>
      </w:r>
      <w:r>
        <w:rPr>
          <w:rFonts w:hint="eastAsia" w:ascii="宋体" w:hAnsi="宋体" w:eastAsia="宋体" w:cs="宋体"/>
          <w:lang w:val="en-US" w:eastAsia="zh-CN"/>
        </w:rPr>
        <w:t>、乡、村三级转诊情况，上转/下转记录管理等。</w:t>
      </w:r>
    </w:p>
    <w:p w14:paraId="60C3E496">
      <w:pPr>
        <w:pStyle w:val="5"/>
        <w:bidi w:val="0"/>
        <w:rPr>
          <w:rFonts w:hint="eastAsia" w:ascii="宋体" w:hAnsi="宋体" w:eastAsia="宋体" w:cs="宋体"/>
          <w:lang w:val="en-US" w:eastAsia="zh-CN"/>
        </w:rPr>
      </w:pPr>
      <w:bookmarkStart w:id="117" w:name="_Toc20677"/>
      <w:bookmarkStart w:id="118" w:name="_Toc13639"/>
      <w:bookmarkStart w:id="119" w:name="_Toc665"/>
      <w:bookmarkStart w:id="120" w:name="_Toc4165"/>
      <w:r>
        <w:rPr>
          <w:rFonts w:hint="eastAsia" w:ascii="宋体" w:hAnsi="宋体" w:eastAsia="宋体" w:cs="宋体"/>
          <w:lang w:val="en-US" w:eastAsia="zh-CN"/>
        </w:rPr>
        <w:t>4.2.7.8患病登记</w:t>
      </w:r>
      <w:bookmarkEnd w:id="117"/>
      <w:bookmarkEnd w:id="118"/>
      <w:bookmarkEnd w:id="119"/>
      <w:bookmarkEnd w:id="120"/>
    </w:p>
    <w:p w14:paraId="6AD404A6">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系统支持新建高危人群和患病患者的国家标准登记报卡，包括甲状腺癌、乳腺癌、肺癌、食管癌、胃癌、肝癌、胰腺癌、结直肠癌、前列腺癌、宫颈癌、卵巢癌等，为新发现的高危患者和新确诊的患者记录详细信息。</w:t>
      </w:r>
    </w:p>
    <w:p w14:paraId="389C7C7D">
      <w:pPr>
        <w:pStyle w:val="5"/>
        <w:bidi w:val="0"/>
        <w:rPr>
          <w:rFonts w:hint="eastAsia" w:ascii="宋体" w:hAnsi="宋体" w:eastAsia="宋体" w:cs="宋体"/>
          <w:lang w:val="en-US" w:eastAsia="zh-CN"/>
        </w:rPr>
      </w:pPr>
      <w:bookmarkStart w:id="121" w:name="_Toc23901"/>
      <w:bookmarkStart w:id="122" w:name="_Toc31580"/>
      <w:bookmarkStart w:id="123" w:name="_Toc4329"/>
      <w:bookmarkStart w:id="124" w:name="_Toc24803"/>
      <w:r>
        <w:rPr>
          <w:rFonts w:hint="eastAsia" w:ascii="宋体" w:hAnsi="宋体" w:eastAsia="宋体" w:cs="宋体"/>
          <w:lang w:val="en-US" w:eastAsia="zh-CN"/>
        </w:rPr>
        <w:t>4.2.7.9一体化签约服务</w:t>
      </w:r>
      <w:bookmarkEnd w:id="121"/>
      <w:bookmarkEnd w:id="122"/>
      <w:bookmarkEnd w:id="123"/>
      <w:bookmarkEnd w:id="124"/>
    </w:p>
    <w:p w14:paraId="144048D3">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针对患者进行一体化签约，统一服务标准，规范服务内容，增加管理医生与患者的互动，通过对患者的日常管理、到期提醒、智能续约功能。</w:t>
      </w:r>
    </w:p>
    <w:p w14:paraId="30A31B87">
      <w:pPr>
        <w:pStyle w:val="5"/>
        <w:bidi w:val="0"/>
        <w:rPr>
          <w:rFonts w:hint="eastAsia" w:ascii="宋体" w:hAnsi="宋体" w:eastAsia="宋体" w:cs="宋体"/>
          <w:lang w:val="en-US" w:eastAsia="zh-CN"/>
        </w:rPr>
      </w:pPr>
      <w:bookmarkStart w:id="125" w:name="_Toc30573"/>
      <w:bookmarkStart w:id="126" w:name="_Toc32506"/>
      <w:bookmarkStart w:id="127" w:name="_Toc18391"/>
      <w:bookmarkStart w:id="128" w:name="_Toc28269"/>
      <w:r>
        <w:rPr>
          <w:rFonts w:hint="eastAsia" w:ascii="宋体" w:hAnsi="宋体" w:eastAsia="宋体" w:cs="宋体"/>
          <w:lang w:val="en-US" w:eastAsia="zh-CN"/>
        </w:rPr>
        <w:t>4.2.7.10健康随访</w:t>
      </w:r>
      <w:bookmarkEnd w:id="125"/>
      <w:bookmarkEnd w:id="126"/>
      <w:bookmarkEnd w:id="127"/>
      <w:bookmarkEnd w:id="128"/>
    </w:p>
    <w:p w14:paraId="48DCE024">
      <w:pPr>
        <w:spacing w:after="156" w:afterLines="50" w:line="360" w:lineRule="auto"/>
        <w:ind w:firstLine="560" w:firstLineChars="200"/>
        <w:rPr>
          <w:rFonts w:hint="eastAsia" w:ascii="宋体" w:hAnsi="宋体" w:eastAsia="宋体" w:cs="宋体"/>
          <w:lang w:val="en-US" w:eastAsia="zh-CN"/>
        </w:rPr>
      </w:pPr>
      <w:r>
        <w:rPr>
          <w:rFonts w:hint="eastAsia" w:ascii="宋体" w:hAnsi="宋体" w:eastAsia="宋体" w:cs="宋体"/>
          <w:lang w:val="en-US" w:eastAsia="zh-CN"/>
        </w:rPr>
        <w:t>依据主要肿瘤高危人群和患者分类结果以及健康管理的质量控制要求，实现定向智能化随访，随访记录过程中系统自动关联随访记录和用药记录数据；随访记录后可自动统计管理医生和管理人群的工作量数据统计；随访结果自动纳入患者个人健康档案和区域健康数据。</w:t>
      </w:r>
    </w:p>
    <w:p w14:paraId="59946FB9">
      <w:pPr>
        <w:pStyle w:val="5"/>
        <w:bidi w:val="0"/>
        <w:rPr>
          <w:rFonts w:hint="eastAsia" w:ascii="宋体" w:hAnsi="宋体" w:eastAsia="宋体" w:cs="宋体"/>
          <w:lang w:val="en-US" w:eastAsia="zh-CN"/>
        </w:rPr>
      </w:pPr>
      <w:bookmarkStart w:id="129" w:name="_Toc19766"/>
      <w:bookmarkStart w:id="130" w:name="_Toc25349"/>
      <w:bookmarkStart w:id="131" w:name="_Toc8372"/>
      <w:bookmarkStart w:id="132" w:name="_Toc31081"/>
      <w:r>
        <w:rPr>
          <w:rFonts w:hint="eastAsia" w:ascii="宋体" w:hAnsi="宋体" w:eastAsia="宋体" w:cs="宋体"/>
          <w:lang w:val="en-US" w:eastAsia="zh-CN"/>
        </w:rPr>
        <w:t>4.2.7.11县乡村三级转诊</w:t>
      </w:r>
      <w:bookmarkEnd w:id="129"/>
      <w:bookmarkEnd w:id="130"/>
      <w:bookmarkEnd w:id="131"/>
      <w:bookmarkEnd w:id="132"/>
    </w:p>
    <w:p w14:paraId="44F7DD2A">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系统具备</w:t>
      </w:r>
      <w:r>
        <w:rPr>
          <w:rFonts w:hint="eastAsia" w:ascii="宋体" w:hAnsi="宋体" w:eastAsia="宋体" w:cs="宋体"/>
          <w:lang w:val="en-US" w:eastAsia="zh-CN"/>
        </w:rPr>
        <w:t>县</w:t>
      </w:r>
      <w:r>
        <w:rPr>
          <w:rFonts w:hint="eastAsia" w:ascii="宋体" w:hAnsi="宋体" w:eastAsia="宋体" w:cs="宋体"/>
          <w:lang w:val="en-US" w:eastAsia="zh-CN"/>
        </w:rPr>
        <w:t>乡村三级双向转诊功能，可接收上级下转患者和上转管理不好的患者，支持转诊业务统计与分析，并包括转诊机构、转诊原因、初步诊断、申请机构、申请科室、申请医生等详细信息。</w:t>
      </w:r>
    </w:p>
    <w:p w14:paraId="3AEF680E">
      <w:pPr>
        <w:pStyle w:val="5"/>
        <w:bidi w:val="0"/>
        <w:rPr>
          <w:rFonts w:hint="eastAsia" w:ascii="宋体" w:hAnsi="宋体" w:eastAsia="宋体" w:cs="宋体"/>
          <w:lang w:val="en-US" w:eastAsia="zh-CN"/>
        </w:rPr>
      </w:pPr>
      <w:bookmarkStart w:id="133" w:name="_Toc12580"/>
      <w:bookmarkStart w:id="134" w:name="_Toc8078"/>
      <w:bookmarkStart w:id="135" w:name="_Toc4848"/>
      <w:bookmarkStart w:id="136" w:name="_Toc18011"/>
      <w:r>
        <w:rPr>
          <w:rFonts w:hint="eastAsia" w:ascii="宋体" w:hAnsi="宋体" w:eastAsia="宋体" w:cs="宋体"/>
          <w:lang w:val="en-US" w:eastAsia="zh-CN"/>
        </w:rPr>
        <w:t>4.2.7.12转诊记录管理</w:t>
      </w:r>
      <w:bookmarkEnd w:id="133"/>
      <w:bookmarkEnd w:id="134"/>
      <w:bookmarkEnd w:id="135"/>
      <w:bookmarkEnd w:id="136"/>
    </w:p>
    <w:p w14:paraId="4F18D4E8">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有统计管理县、乡、村三级转诊情况，上转/下转记录管理等。</w:t>
      </w:r>
    </w:p>
    <w:p w14:paraId="7EC62AC9">
      <w:pPr>
        <w:pStyle w:val="5"/>
        <w:bidi w:val="0"/>
        <w:rPr>
          <w:rFonts w:hint="eastAsia" w:ascii="宋体" w:hAnsi="宋体" w:eastAsia="宋体" w:cs="宋体"/>
          <w:lang w:val="en-US" w:eastAsia="zh-CN"/>
        </w:rPr>
      </w:pPr>
      <w:bookmarkStart w:id="137" w:name="_Toc1671"/>
      <w:bookmarkStart w:id="138" w:name="_Toc9330"/>
      <w:r>
        <w:rPr>
          <w:rFonts w:hint="eastAsia" w:ascii="宋体" w:hAnsi="宋体" w:eastAsia="宋体" w:cs="宋体"/>
          <w:lang w:val="en-US" w:eastAsia="zh-CN"/>
        </w:rPr>
        <w:t>4.2.7.13健康处方</w:t>
      </w:r>
      <w:bookmarkEnd w:id="137"/>
      <w:bookmarkEnd w:id="138"/>
    </w:p>
    <w:p w14:paraId="214E6FD8">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支持为需求肿瘤居民开具健康处方，包括饮食、运动、心理、中医、用药、疫苗和戒烟等，配有健康处方库，支持分类标签筛选，医生可直接引入相关健康处方模板。</w:t>
      </w:r>
    </w:p>
    <w:p w14:paraId="1FE34EBC">
      <w:pPr>
        <w:pStyle w:val="5"/>
        <w:bidi w:val="0"/>
        <w:rPr>
          <w:rFonts w:hint="eastAsia" w:ascii="宋体" w:hAnsi="宋体" w:eastAsia="宋体" w:cs="宋体"/>
          <w:lang w:val="en-US" w:eastAsia="zh-CN"/>
        </w:rPr>
      </w:pPr>
      <w:bookmarkStart w:id="139" w:name="_Toc12777"/>
      <w:bookmarkStart w:id="140" w:name="_Toc11260"/>
      <w:r>
        <w:rPr>
          <w:rFonts w:hint="eastAsia" w:ascii="宋体" w:hAnsi="宋体" w:eastAsia="宋体" w:cs="宋体"/>
          <w:lang w:val="en-US" w:eastAsia="zh-CN"/>
        </w:rPr>
        <w:t>4.2.7.14健康监测管理</w:t>
      </w:r>
      <w:bookmarkEnd w:id="139"/>
      <w:bookmarkEnd w:id="140"/>
    </w:p>
    <w:p w14:paraId="37D7B387">
      <w:pPr>
        <w:ind w:firstLine="560" w:firstLineChars="200"/>
        <w:rPr>
          <w:rFonts w:hint="eastAsia" w:ascii="宋体" w:hAnsi="宋体" w:eastAsia="宋体" w:cs="宋体"/>
          <w:lang w:val="en-US" w:eastAsia="zh-CN"/>
        </w:rPr>
      </w:pPr>
      <w:r>
        <w:rPr>
          <w:rFonts w:hint="eastAsia" w:ascii="宋体" w:hAnsi="宋体" w:eastAsia="宋体" w:cs="宋体"/>
          <w:lang w:val="en-US" w:eastAsia="zh-CN"/>
        </w:rPr>
        <w:t>支持患者居家监测干预、血压、血糖管理报告、生命体征曲线图监测等。</w:t>
      </w:r>
    </w:p>
    <w:p w14:paraId="5B0E0FB5">
      <w:pPr>
        <w:pStyle w:val="4"/>
        <w:rPr>
          <w:rFonts w:hint="eastAsia" w:ascii="宋体" w:hAnsi="宋体" w:eastAsia="宋体" w:cs="宋体"/>
          <w:lang w:val="en-US" w:eastAsia="zh-CN"/>
        </w:rPr>
      </w:pPr>
      <w:bookmarkStart w:id="141" w:name="_Toc17183"/>
      <w:bookmarkStart w:id="142" w:name="_Toc2370"/>
      <w:r>
        <w:rPr>
          <w:rFonts w:hint="eastAsia" w:ascii="宋体" w:hAnsi="宋体" w:eastAsia="宋体" w:cs="宋体"/>
          <w:lang w:val="en-US" w:eastAsia="zh-CN"/>
        </w:rPr>
        <w:t>4.2.8</w:t>
      </w:r>
      <w:r>
        <w:rPr>
          <w:rFonts w:hint="eastAsia" w:ascii="宋体" w:hAnsi="宋体" w:eastAsia="宋体" w:cs="宋体"/>
        </w:rPr>
        <w:t>区域综合监管</w:t>
      </w:r>
      <w:bookmarkEnd w:id="100"/>
      <w:r>
        <w:rPr>
          <w:rFonts w:hint="eastAsia" w:ascii="宋体" w:hAnsi="宋体" w:eastAsia="宋体" w:cs="宋体"/>
          <w:lang w:val="en-US" w:eastAsia="zh-CN"/>
        </w:rPr>
        <w:t>质控</w:t>
      </w:r>
      <w:bookmarkEnd w:id="101"/>
      <w:bookmarkEnd w:id="141"/>
      <w:bookmarkEnd w:id="142"/>
    </w:p>
    <w:p w14:paraId="0E33FCD5">
      <w:pPr>
        <w:pStyle w:val="5"/>
        <w:bidi w:val="0"/>
        <w:rPr>
          <w:rFonts w:hint="eastAsia" w:ascii="宋体" w:hAnsi="宋体" w:eastAsia="宋体" w:cs="宋体"/>
          <w:lang w:val="en-US" w:eastAsia="zh-CN"/>
        </w:rPr>
      </w:pPr>
      <w:bookmarkStart w:id="143" w:name="_Toc3748"/>
      <w:bookmarkStart w:id="144" w:name="_Toc24362"/>
      <w:r>
        <w:rPr>
          <w:rFonts w:hint="eastAsia" w:ascii="宋体" w:hAnsi="宋体" w:eastAsia="宋体" w:cs="宋体"/>
          <w:lang w:val="en-US" w:eastAsia="zh-CN"/>
        </w:rPr>
        <w:t>4.2.8.1查询监控</w:t>
      </w:r>
      <w:bookmarkEnd w:id="143"/>
      <w:bookmarkEnd w:id="144"/>
    </w:p>
    <w:p w14:paraId="3C10C456">
      <w:pPr>
        <w:spacing w:after="156" w:afterLines="50" w:line="360" w:lineRule="auto"/>
        <w:ind w:firstLine="560" w:firstLineChars="200"/>
        <w:rPr>
          <w:rFonts w:hint="eastAsia" w:ascii="宋体" w:hAnsi="宋体" w:eastAsia="宋体" w:cs="宋体"/>
          <w:lang w:val="en-US" w:eastAsia="zh-CN"/>
        </w:rPr>
      </w:pPr>
      <w:r>
        <w:rPr>
          <w:rFonts w:hint="eastAsia" w:ascii="宋体" w:hAnsi="宋体" w:eastAsia="宋体" w:cs="宋体"/>
          <w:lang w:val="en-US" w:eastAsia="zh-CN"/>
        </w:rPr>
        <w:t>提供查询服务支持，对区域肿瘤防治业务进行整体统计，为管理员人提供查询与监控支持，包含对不同人群、不同业务、不同指标等维度进行综合查询支持。</w:t>
      </w:r>
    </w:p>
    <w:p w14:paraId="1FD1069A">
      <w:pPr>
        <w:pStyle w:val="5"/>
        <w:bidi w:val="0"/>
        <w:rPr>
          <w:rFonts w:hint="eastAsia" w:ascii="宋体" w:hAnsi="宋体" w:eastAsia="宋体" w:cs="宋体"/>
          <w:lang w:val="en-US" w:eastAsia="zh-CN"/>
        </w:rPr>
      </w:pPr>
      <w:bookmarkStart w:id="145" w:name="_Toc20556"/>
      <w:bookmarkStart w:id="146" w:name="_Toc27323"/>
      <w:r>
        <w:rPr>
          <w:rFonts w:hint="eastAsia" w:ascii="宋体" w:hAnsi="宋体" w:eastAsia="宋体" w:cs="宋体"/>
          <w:lang w:val="en-US" w:eastAsia="zh-CN"/>
        </w:rPr>
        <w:t>4.2.8.2统计分析</w:t>
      </w:r>
      <w:bookmarkEnd w:id="145"/>
      <w:bookmarkEnd w:id="146"/>
    </w:p>
    <w:p w14:paraId="41B32A99">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lang w:val="en-US" w:eastAsia="zh-CN"/>
        </w:rPr>
        <w:t>提供统计服务支持，对相关业务进行统计分析，包含对不同人群、不同业务、不同指标等维度进行统计分析支持。</w:t>
      </w:r>
    </w:p>
    <w:p w14:paraId="3E7303BD">
      <w:pPr>
        <w:spacing w:after="156" w:afterLines="50" w:line="360" w:lineRule="auto"/>
        <w:jc w:val="center"/>
        <w:rPr>
          <w:rFonts w:hint="eastAsia" w:ascii="宋体" w:hAnsi="宋体" w:eastAsia="宋体" w:cs="宋体"/>
          <w:sz w:val="28"/>
          <w:szCs w:val="28"/>
        </w:rPr>
      </w:pPr>
      <w:r>
        <w:rPr>
          <w:rFonts w:hint="eastAsia" w:ascii="宋体" w:hAnsi="宋体" w:eastAsia="宋体" w:cs="宋体"/>
        </w:rPr>
        <w:drawing>
          <wp:inline distT="0" distB="0" distL="114300" distR="114300">
            <wp:extent cx="5050155" cy="2566670"/>
            <wp:effectExtent l="0" t="0" r="17145" b="5080"/>
            <wp:docPr id="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
                    <pic:cNvPicPr>
                      <a:picLocks noChangeAspect="1"/>
                    </pic:cNvPicPr>
                  </pic:nvPicPr>
                  <pic:blipFill>
                    <a:blip r:embed="rId7"/>
                    <a:stretch>
                      <a:fillRect/>
                    </a:stretch>
                  </pic:blipFill>
                  <pic:spPr>
                    <a:xfrm>
                      <a:off x="0" y="0"/>
                      <a:ext cx="5050155" cy="2566670"/>
                    </a:xfrm>
                    <a:prstGeom prst="rect">
                      <a:avLst/>
                    </a:prstGeom>
                    <a:noFill/>
                    <a:ln>
                      <a:noFill/>
                    </a:ln>
                  </pic:spPr>
                </pic:pic>
              </a:graphicData>
            </a:graphic>
          </wp:inline>
        </w:drawing>
      </w:r>
    </w:p>
    <w:p w14:paraId="32C60F2E">
      <w:pPr>
        <w:pStyle w:val="5"/>
        <w:bidi w:val="0"/>
        <w:rPr>
          <w:rFonts w:hint="eastAsia" w:ascii="宋体" w:hAnsi="宋体" w:eastAsia="宋体" w:cs="宋体"/>
          <w:lang w:val="en-US" w:eastAsia="zh-CN"/>
        </w:rPr>
      </w:pPr>
      <w:bookmarkStart w:id="147" w:name="_Toc20551"/>
      <w:bookmarkStart w:id="148" w:name="_Toc1584"/>
      <w:bookmarkStart w:id="149" w:name="_Toc29026"/>
      <w:r>
        <w:rPr>
          <w:rFonts w:hint="eastAsia" w:ascii="宋体" w:hAnsi="宋体" w:eastAsia="宋体" w:cs="宋体"/>
          <w:lang w:val="en-US" w:eastAsia="zh-CN"/>
        </w:rPr>
        <w:t>4.2.8.3区域绩效考核</w:t>
      </w:r>
      <w:bookmarkEnd w:id="147"/>
      <w:bookmarkEnd w:id="148"/>
    </w:p>
    <w:p w14:paraId="4A7465FB">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（1）工作量统计：统计所有机构的肿瘤防治业务的情况，展示所有医疗机构的医务人员的签约、转诊、随访等工作量。</w:t>
      </w:r>
    </w:p>
    <w:p w14:paraId="2F99BD2C">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（2）肿瘤患者统计：展示区域内各类肿瘤患者的人群列表，支持智能筛选，包含</w:t>
      </w:r>
      <w:r>
        <w:rPr>
          <w:rFonts w:hint="eastAsia" w:ascii="宋体" w:hAnsi="宋体" w:eastAsia="宋体" w:cs="宋体"/>
          <w:lang w:val="en-US" w:eastAsia="zh-CN"/>
        </w:rPr>
        <w:t>县</w:t>
      </w:r>
      <w:r>
        <w:rPr>
          <w:rFonts w:hint="eastAsia" w:ascii="宋体" w:hAnsi="宋体" w:eastAsia="宋体" w:cs="宋体"/>
          <w:lang w:val="en-US" w:eastAsia="zh-CN"/>
        </w:rPr>
        <w:t>域内、</w:t>
      </w:r>
      <w:r>
        <w:rPr>
          <w:rFonts w:hint="eastAsia" w:ascii="宋体" w:hAnsi="宋体" w:eastAsia="宋体" w:cs="宋体"/>
          <w:lang w:val="en-US" w:eastAsia="zh-CN"/>
        </w:rPr>
        <w:t>县</w:t>
      </w:r>
      <w:r>
        <w:rPr>
          <w:rFonts w:hint="eastAsia" w:ascii="宋体" w:hAnsi="宋体" w:eastAsia="宋体" w:cs="宋体"/>
          <w:lang w:val="en-US" w:eastAsia="zh-CN"/>
        </w:rPr>
        <w:t>域外、按机构查询、按一体化签约/公卫签约查询等多类查询方式。</w:t>
      </w:r>
    </w:p>
    <w:p w14:paraId="6205471C">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（3）随访统计：显示所有机构的显示所有机构医务人员对肿瘤患者的随访工作统计。</w:t>
      </w:r>
    </w:p>
    <w:p w14:paraId="787FC1E2">
      <w:pPr>
        <w:pStyle w:val="5"/>
        <w:bidi w:val="0"/>
        <w:rPr>
          <w:rFonts w:hint="eastAsia" w:ascii="宋体" w:hAnsi="宋体" w:eastAsia="宋体" w:cs="宋体"/>
          <w:lang w:val="en-US" w:eastAsia="zh-CN"/>
        </w:rPr>
      </w:pPr>
      <w:bookmarkStart w:id="150" w:name="_Toc8595"/>
      <w:bookmarkStart w:id="151" w:name="_Toc4705"/>
      <w:r>
        <w:rPr>
          <w:rFonts w:hint="eastAsia" w:ascii="宋体" w:hAnsi="宋体" w:eastAsia="宋体" w:cs="宋体"/>
          <w:lang w:val="en-US" w:eastAsia="zh-CN"/>
        </w:rPr>
        <w:t>4.2.8.4大数据可视化综合展示</w:t>
      </w:r>
      <w:bookmarkEnd w:id="150"/>
      <w:bookmarkEnd w:id="151"/>
    </w:p>
    <w:p w14:paraId="740CC392">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（1）区域肿瘤肿瘤防治概况</w:t>
      </w:r>
    </w:p>
    <w:p w14:paraId="2435E5FC">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肿瘤防治平台通过对全域居民的肿瘤数据进行收集、汇总、分析与处理，构建全域居民肿瘤大数据，智能呈现区域内的肿瘤患者总数、恶性肿瘤患者总数以及不同年龄段的各类恶性肿瘤发病情况，男性、女性恶性肿瘤的发病 TOP10，区域内肿瘤患者新增情况、门诊量/住院量统计，区域内重点恶性肿瘤的发病率等情况。</w:t>
      </w:r>
    </w:p>
    <w:p w14:paraId="18C532CC">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（2）区域肿瘤疾病谱</w:t>
      </w:r>
    </w:p>
    <w:p w14:paraId="2FE7750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按月度统计区域内恶性肿瘤的新增情况，不同年龄段人群的高发恶性肿瘤人群发病占比，各乡镇重点恶性肿瘤的人群分布情况。</w:t>
      </w:r>
    </w:p>
    <w:p w14:paraId="3015C291">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 xml:space="preserve">（3）区域肿瘤发病概况 </w:t>
      </w:r>
    </w:p>
    <w:p w14:paraId="46A26A23">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包括：展示甲状腺癌、乳腺癌、肺癌、食管癌、胃癌、肝癌、胰腺癌、结直肠癌、前列腺癌、宫颈癌、卵巢癌的分布柱状图；全区月度一体化统计：展示甲状腺癌、乳腺癌、肺癌、食管癌、胃癌、肝癌、胰腺癌、结直肠癌、前列腺癌、宫颈癌、卵巢癌一体化新增人数的柱状图；展示甲状腺癌、乳腺癌、肺癌、食管癌、胃癌、肝癌、胰腺癌、结直肠癌、前列腺癌、宫颈癌、卵巢癌的数据比例图。</w:t>
      </w:r>
    </w:p>
    <w:p w14:paraId="348D613F">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（4）区域肿瘤健康管控概况</w:t>
      </w:r>
    </w:p>
    <w:p w14:paraId="5F4B9B28">
      <w:pPr>
        <w:bidi w:val="0"/>
        <w:ind w:firstLine="560" w:firstLineChars="200"/>
        <w:rPr>
          <w:rFonts w:hint="eastAsia" w:ascii="宋体" w:hAnsi="宋体" w:eastAsia="宋体" w:cs="宋体"/>
          <w:lang w:val="en-US" w:eastAsia="zh-CN"/>
        </w:rPr>
      </w:pPr>
      <w:r>
        <w:rPr>
          <w:rFonts w:hint="eastAsia" w:ascii="宋体" w:hAnsi="宋体" w:eastAsia="宋体" w:cs="宋体"/>
          <w:lang w:val="en-US" w:eastAsia="zh-CN"/>
        </w:rPr>
        <w:t>主要包括甲状腺癌、乳腺癌、肺癌、食管癌、胃癌、肝癌、胰腺癌、结直肠癌、前列腺癌、宫颈癌、卵巢癌一体化总人数、随访管控、康复管理、健康教育等数据展示。</w:t>
      </w:r>
    </w:p>
    <w:p w14:paraId="05514DE4">
      <w:pPr>
        <w:pStyle w:val="5"/>
        <w:bidi w:val="0"/>
        <w:rPr>
          <w:rFonts w:hint="eastAsia" w:ascii="宋体" w:hAnsi="宋体" w:eastAsia="宋体" w:cs="宋体"/>
        </w:rPr>
      </w:pPr>
      <w:bookmarkStart w:id="152" w:name="_Toc20312"/>
      <w:bookmarkStart w:id="153" w:name="_Toc4448"/>
      <w:r>
        <w:rPr>
          <w:rFonts w:hint="eastAsia" w:ascii="宋体" w:hAnsi="宋体" w:eastAsia="宋体" w:cs="宋体"/>
          <w:lang w:val="en-US" w:eastAsia="zh-CN"/>
        </w:rPr>
        <w:t>4.2.8.5</w:t>
      </w:r>
      <w:r>
        <w:rPr>
          <w:rFonts w:hint="eastAsia" w:ascii="宋体" w:hAnsi="宋体" w:eastAsia="宋体" w:cs="宋体"/>
        </w:rPr>
        <w:t>区域肿瘤质控管理</w:t>
      </w:r>
      <w:bookmarkEnd w:id="149"/>
      <w:bookmarkEnd w:id="152"/>
      <w:bookmarkEnd w:id="153"/>
    </w:p>
    <w:p w14:paraId="588B9CC1">
      <w:pPr>
        <w:ind w:firstLine="560" w:firstLineChars="200"/>
        <w:rPr>
          <w:rFonts w:hint="eastAsia" w:ascii="宋体" w:hAnsi="宋体" w:eastAsia="宋体" w:cs="宋体"/>
          <w:sz w:val="28"/>
          <w:szCs w:val="28"/>
        </w:rPr>
      </w:pPr>
      <w:r>
        <w:rPr>
          <w:rFonts w:hint="eastAsia" w:ascii="宋体" w:hAnsi="宋体" w:eastAsia="宋体" w:cs="宋体"/>
          <w:sz w:val="28"/>
          <w:szCs w:val="28"/>
        </w:rPr>
        <w:t>高效地进行区域肿瘤质控管理，提升恶性肿瘤管理的效果和服务质量，顺利达标考核要求，提高区域内的整体健康水平。</w:t>
      </w:r>
    </w:p>
    <w:tbl>
      <w:tblPr>
        <w:tblStyle w:val="7"/>
        <w:tblW w:w="5000" w:type="pct"/>
        <w:tblInd w:w="0" w:type="dxa"/>
        <w:tblLayout w:type="fixed"/>
        <w:tblCellMar>
          <w:top w:w="0" w:type="dxa"/>
          <w:left w:w="108" w:type="dxa"/>
          <w:bottom w:w="0" w:type="dxa"/>
          <w:right w:w="108" w:type="dxa"/>
        </w:tblCellMar>
      </w:tblPr>
      <w:tblGrid>
        <w:gridCol w:w="2050"/>
        <w:gridCol w:w="2222"/>
        <w:gridCol w:w="4250"/>
      </w:tblGrid>
      <w:tr w14:paraId="249F105B">
        <w:tblPrEx>
          <w:tblCellMar>
            <w:top w:w="0" w:type="dxa"/>
            <w:left w:w="108" w:type="dxa"/>
            <w:bottom w:w="0" w:type="dxa"/>
            <w:right w:w="108" w:type="dxa"/>
          </w:tblCellMar>
        </w:tblPrEx>
        <w:trPr>
          <w:trHeight w:val="360" w:hRule="atLeast"/>
        </w:trPr>
        <w:tc>
          <w:tcPr>
            <w:tcW w:w="870" w:type="pct"/>
            <w:vMerge w:val="restart"/>
            <w:tcBorders>
              <w:top w:val="single" w:color="000000" w:sz="4" w:space="0"/>
              <w:left w:val="single" w:color="000000" w:sz="4" w:space="0"/>
              <w:right w:val="single" w:color="000000" w:sz="4" w:space="0"/>
            </w:tcBorders>
            <w:shd w:val="clear" w:color="auto" w:fill="auto"/>
            <w:vAlign w:val="center"/>
          </w:tcPr>
          <w:p w14:paraId="089544CA">
            <w:pPr>
              <w:widowControl/>
              <w:jc w:val="center"/>
              <w:textAlignment w:val="center"/>
              <w:rPr>
                <w:rFonts w:hint="eastAsia" w:ascii="宋体" w:hAnsi="宋体" w:eastAsia="宋体" w:cs="宋体"/>
                <w:color w:val="000000"/>
                <w:sz w:val="28"/>
                <w:szCs w:val="28"/>
              </w:rPr>
            </w:pPr>
            <w:r>
              <w:rPr>
                <w:rFonts w:hint="eastAsia" w:ascii="宋体" w:hAnsi="宋体" w:eastAsia="宋体" w:cs="宋体"/>
                <w:color w:val="000000"/>
                <w:kern w:val="0"/>
                <w:sz w:val="28"/>
                <w:szCs w:val="28"/>
                <w:lang w:bidi="ar"/>
              </w:rPr>
              <w:t>肿瘤数据质控管理</w:t>
            </w:r>
          </w:p>
        </w:tc>
        <w:tc>
          <w:tcPr>
            <w:tcW w:w="943" w:type="pct"/>
            <w:vMerge w:val="restart"/>
            <w:tcBorders>
              <w:top w:val="single" w:color="000000" w:sz="4" w:space="0"/>
              <w:left w:val="single" w:color="000000" w:sz="4" w:space="0"/>
              <w:right w:val="single" w:color="000000" w:sz="4" w:space="0"/>
            </w:tcBorders>
            <w:shd w:val="clear" w:color="auto" w:fill="auto"/>
            <w:vAlign w:val="center"/>
          </w:tcPr>
          <w:p w14:paraId="585A57E8">
            <w:pPr>
              <w:keepNext w:val="0"/>
              <w:keepLines w:val="0"/>
              <w:widowControl/>
              <w:suppressLineNumbers w:val="0"/>
              <w:jc w:val="center"/>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肿瘤患者管理重点指标</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5911">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重点癌种早诊率(T1-2N0M0)</w:t>
            </w:r>
          </w:p>
        </w:tc>
      </w:tr>
      <w:tr w14:paraId="3E195CC0">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2A99FE30">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31A3E3FB">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741F">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早癌早诊率</w:t>
            </w:r>
          </w:p>
        </w:tc>
      </w:tr>
      <w:tr w14:paraId="6F9E8F06">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45B2E5A0">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7C72FD79">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5311">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居民癌症防治核心知识知晓率</w:t>
            </w:r>
          </w:p>
        </w:tc>
      </w:tr>
      <w:tr w14:paraId="49A0DFD5">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257B663B">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noWrap/>
            <w:vAlign w:val="center"/>
          </w:tcPr>
          <w:p w14:paraId="4764F392">
            <w:pPr>
              <w:keepNext w:val="0"/>
              <w:keepLines w:val="0"/>
              <w:widowControl/>
              <w:suppressLineNumbers w:val="0"/>
              <w:jc w:val="center"/>
              <w:textAlignment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F6DC">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具有病理诊断与临床诊断符合率</w:t>
            </w:r>
          </w:p>
        </w:tc>
      </w:tr>
      <w:tr w14:paraId="73FDDD51">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5F7922C6">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noWrap/>
            <w:vAlign w:val="center"/>
          </w:tcPr>
          <w:p w14:paraId="45C4991F">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FE94">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癌症患者治疗前病理诊断率</w:t>
            </w:r>
          </w:p>
        </w:tc>
      </w:tr>
      <w:tr w14:paraId="4C47AE06">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71D11C04">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noWrap/>
            <w:vAlign w:val="center"/>
          </w:tcPr>
          <w:p w14:paraId="2F5CD60D">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9CD9">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癌症患者治疗后病理诊断符合率</w:t>
            </w:r>
          </w:p>
        </w:tc>
      </w:tr>
      <w:tr w14:paraId="248073AF">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5406CC9D">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noWrap/>
            <w:vAlign w:val="center"/>
          </w:tcPr>
          <w:p w14:paraId="0B6A60DB">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E8113">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肿瘤治疗前临床TNM分期评估率</w:t>
            </w:r>
          </w:p>
        </w:tc>
      </w:tr>
      <w:tr w14:paraId="4572E4E9">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48CEAD0F">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0E28E04F">
            <w:pPr>
              <w:widowControl/>
              <w:jc w:val="center"/>
              <w:textAlignment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E5DED">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重点病种规范化诊疗(临床路径)</w:t>
            </w:r>
          </w:p>
        </w:tc>
      </w:tr>
      <w:tr w14:paraId="1DC90872">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422FF8C7">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1C9C0FEA">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D101">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肿瘤诊治临床路径入径率</w:t>
            </w:r>
          </w:p>
        </w:tc>
      </w:tr>
      <w:tr w14:paraId="1C3AB62E">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20E3DC23">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4BC7E3F1">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884E">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肿瘤诊治临床路径完成率</w:t>
            </w:r>
          </w:p>
        </w:tc>
      </w:tr>
      <w:tr w14:paraId="124ACAD3">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03A4325F">
            <w:pPr>
              <w:widowControl/>
              <w:jc w:val="center"/>
              <w:rPr>
                <w:rFonts w:hint="eastAsia" w:ascii="宋体" w:hAnsi="宋体" w:eastAsia="宋体" w:cs="宋体"/>
                <w:color w:val="000000"/>
                <w:sz w:val="28"/>
                <w:szCs w:val="28"/>
              </w:rPr>
            </w:pPr>
          </w:p>
        </w:tc>
        <w:tc>
          <w:tcPr>
            <w:tcW w:w="943" w:type="pct"/>
            <w:vMerge w:val="continue"/>
            <w:tcBorders>
              <w:left w:val="single" w:color="000000" w:sz="4" w:space="0"/>
              <w:right w:val="single" w:color="000000" w:sz="4" w:space="0"/>
            </w:tcBorders>
            <w:shd w:val="clear" w:color="auto" w:fill="auto"/>
            <w:vAlign w:val="center"/>
          </w:tcPr>
          <w:p w14:paraId="75E0C6AE">
            <w:pPr>
              <w:widowControl/>
              <w:jc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A6CB4">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区域总体癌症的5年生存率</w:t>
            </w:r>
          </w:p>
        </w:tc>
      </w:tr>
      <w:tr w14:paraId="370AB02F">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564B7DD2">
            <w:pPr>
              <w:widowControl/>
              <w:jc w:val="center"/>
              <w:rPr>
                <w:rFonts w:hint="eastAsia" w:ascii="宋体" w:hAnsi="宋体" w:eastAsia="宋体" w:cs="宋体"/>
                <w:color w:val="000000"/>
                <w:sz w:val="28"/>
                <w:szCs w:val="28"/>
              </w:rPr>
            </w:pPr>
          </w:p>
        </w:tc>
        <w:tc>
          <w:tcPr>
            <w:tcW w:w="943" w:type="pct"/>
            <w:vMerge w:val="continue"/>
            <w:tcBorders>
              <w:left w:val="single" w:color="000000" w:sz="4" w:space="0"/>
              <w:bottom w:val="single" w:color="000000" w:sz="4" w:space="0"/>
              <w:right w:val="single" w:color="000000" w:sz="4" w:space="0"/>
            </w:tcBorders>
            <w:shd w:val="clear" w:color="auto" w:fill="auto"/>
            <w:vAlign w:val="center"/>
          </w:tcPr>
          <w:p w14:paraId="6B7D8314">
            <w:pPr>
              <w:widowControl/>
              <w:jc w:val="center"/>
              <w:textAlignment w:val="center"/>
              <w:rPr>
                <w:rFonts w:hint="eastAsia" w:ascii="宋体" w:hAnsi="宋体" w:eastAsia="宋体" w:cs="宋体"/>
                <w:color w:val="000000"/>
                <w:sz w:val="28"/>
                <w:szCs w:val="28"/>
              </w:rPr>
            </w:pP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C454">
            <w:pPr>
              <w:keepNext w:val="0"/>
              <w:keepLines w:val="0"/>
              <w:widowControl/>
              <w:suppressLineNumbers w:val="0"/>
              <w:jc w:val="both"/>
              <w:textAlignment w:val="center"/>
              <w:rPr>
                <w:rFonts w:hint="eastAsia" w:ascii="宋体" w:hAnsi="宋体" w:eastAsia="宋体" w:cs="宋体"/>
                <w:color w:val="000000"/>
                <w:sz w:val="28"/>
                <w:szCs w:val="28"/>
              </w:rPr>
            </w:pPr>
            <w:r>
              <w:rPr>
                <w:rFonts w:hint="eastAsia" w:ascii="宋体" w:hAnsi="宋体" w:eastAsia="宋体" w:cs="宋体"/>
                <w:i w:val="0"/>
                <w:iCs w:val="0"/>
                <w:color w:val="000000"/>
                <w:kern w:val="0"/>
                <w:sz w:val="28"/>
                <w:szCs w:val="28"/>
                <w:u w:val="none"/>
                <w:lang w:val="en-US" w:eastAsia="zh-CN" w:bidi="ar"/>
              </w:rPr>
              <w:t>区域肿瘤患者康复指导覆盖率</w:t>
            </w:r>
          </w:p>
        </w:tc>
      </w:tr>
      <w:tr w14:paraId="4040FE9B">
        <w:tblPrEx>
          <w:tblCellMar>
            <w:top w:w="0" w:type="dxa"/>
            <w:left w:w="108" w:type="dxa"/>
            <w:bottom w:w="0" w:type="dxa"/>
            <w:right w:w="108" w:type="dxa"/>
          </w:tblCellMar>
        </w:tblPrEx>
        <w:trPr>
          <w:trHeight w:val="360" w:hRule="atLeast"/>
        </w:trPr>
        <w:tc>
          <w:tcPr>
            <w:tcW w:w="870" w:type="pct"/>
            <w:vMerge w:val="continue"/>
            <w:tcBorders>
              <w:left w:val="single" w:color="000000" w:sz="4" w:space="0"/>
              <w:right w:val="single" w:color="000000" w:sz="4" w:space="0"/>
            </w:tcBorders>
            <w:shd w:val="clear" w:color="auto" w:fill="auto"/>
            <w:vAlign w:val="center"/>
          </w:tcPr>
          <w:p w14:paraId="2ADDE384">
            <w:pPr>
              <w:widowControl/>
              <w:jc w:val="center"/>
              <w:rPr>
                <w:rFonts w:hint="eastAsia" w:ascii="宋体" w:hAnsi="宋体" w:eastAsia="宋体" w:cs="宋体"/>
                <w:color w:val="000000"/>
                <w:sz w:val="28"/>
                <w:szCs w:val="28"/>
              </w:rPr>
            </w:pPr>
          </w:p>
        </w:tc>
        <w:tc>
          <w:tcPr>
            <w:tcW w:w="943" w:type="pct"/>
            <w:vMerge w:val="restart"/>
            <w:tcBorders>
              <w:top w:val="single" w:color="000000" w:sz="4" w:space="0"/>
              <w:left w:val="single" w:color="000000" w:sz="4" w:space="0"/>
              <w:right w:val="single" w:color="000000" w:sz="4" w:space="0"/>
            </w:tcBorders>
            <w:shd w:val="clear" w:color="auto" w:fill="auto"/>
            <w:vAlign w:val="center"/>
          </w:tcPr>
          <w:p w14:paraId="56537406">
            <w:pPr>
              <w:widowControl/>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i w:val="0"/>
                <w:iCs w:val="0"/>
                <w:color w:val="000000"/>
                <w:kern w:val="0"/>
                <w:sz w:val="28"/>
                <w:szCs w:val="28"/>
                <w:u w:val="none"/>
                <w:lang w:val="en-US" w:eastAsia="zh-CN" w:bidi="ar"/>
              </w:rPr>
              <w:t>一体化管理指标</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5EEB">
            <w:pPr>
              <w:keepNext w:val="0"/>
              <w:keepLines w:val="0"/>
              <w:widowControl/>
              <w:suppressLineNumbers w:val="0"/>
              <w:jc w:val="both"/>
              <w:textAlignment w:val="center"/>
              <w:rPr>
                <w:rFonts w:hint="eastAsia" w:ascii="宋体" w:hAnsi="宋体" w:eastAsia="宋体" w:cs="宋体"/>
                <w:color w:val="000000"/>
                <w:kern w:val="0"/>
                <w:sz w:val="28"/>
                <w:szCs w:val="28"/>
                <w:lang w:bidi="ar"/>
              </w:rPr>
            </w:pPr>
            <w:r>
              <w:rPr>
                <w:rFonts w:hint="eastAsia" w:ascii="宋体" w:hAnsi="宋体" w:eastAsia="宋体" w:cs="宋体"/>
                <w:i w:val="0"/>
                <w:iCs w:val="0"/>
                <w:color w:val="000000"/>
                <w:kern w:val="0"/>
                <w:sz w:val="28"/>
                <w:szCs w:val="28"/>
                <w:u w:val="none"/>
                <w:lang w:val="en-US" w:eastAsia="zh-CN" w:bidi="ar"/>
              </w:rPr>
              <w:t>统计所有机构的肿瘤防治业务的情况，展示所有医疗机构的医务人员的签约、转诊、随访等工作量。</w:t>
            </w:r>
          </w:p>
        </w:tc>
      </w:tr>
      <w:tr w14:paraId="76295AF2">
        <w:tblPrEx>
          <w:tblCellMar>
            <w:top w:w="0" w:type="dxa"/>
            <w:left w:w="108" w:type="dxa"/>
            <w:bottom w:w="0" w:type="dxa"/>
            <w:right w:w="108" w:type="dxa"/>
          </w:tblCellMar>
        </w:tblPrEx>
        <w:trPr>
          <w:trHeight w:val="360" w:hRule="atLeast"/>
        </w:trPr>
        <w:tc>
          <w:tcPr>
            <w:tcW w:w="870" w:type="pct"/>
            <w:vMerge w:val="continue"/>
            <w:tcBorders>
              <w:left w:val="single" w:color="000000" w:sz="4" w:space="0"/>
              <w:bottom w:val="single" w:color="auto" w:sz="4" w:space="0"/>
              <w:right w:val="single" w:color="000000" w:sz="4" w:space="0"/>
            </w:tcBorders>
            <w:shd w:val="clear" w:color="auto" w:fill="auto"/>
            <w:vAlign w:val="center"/>
          </w:tcPr>
          <w:p w14:paraId="6394176A">
            <w:pPr>
              <w:widowControl/>
              <w:jc w:val="center"/>
              <w:rPr>
                <w:rFonts w:hint="eastAsia" w:ascii="宋体" w:hAnsi="宋体" w:eastAsia="宋体" w:cs="宋体"/>
                <w:color w:val="000000"/>
                <w:sz w:val="28"/>
                <w:szCs w:val="28"/>
              </w:rPr>
            </w:pPr>
          </w:p>
        </w:tc>
        <w:tc>
          <w:tcPr>
            <w:tcW w:w="943" w:type="pct"/>
            <w:vMerge w:val="continue"/>
            <w:tcBorders>
              <w:left w:val="single" w:color="000000" w:sz="4" w:space="0"/>
              <w:bottom w:val="single" w:color="auto" w:sz="4" w:space="0"/>
              <w:right w:val="single" w:color="000000" w:sz="4" w:space="0"/>
            </w:tcBorders>
            <w:shd w:val="clear" w:color="auto" w:fill="auto"/>
            <w:vAlign w:val="center"/>
          </w:tcPr>
          <w:p w14:paraId="41629CA2">
            <w:pPr>
              <w:widowControl/>
              <w:jc w:val="center"/>
              <w:textAlignment w:val="center"/>
              <w:rPr>
                <w:rFonts w:hint="eastAsia" w:ascii="宋体" w:hAnsi="宋体" w:eastAsia="宋体" w:cs="宋体"/>
                <w:color w:val="000000"/>
                <w:kern w:val="0"/>
                <w:sz w:val="28"/>
                <w:szCs w:val="28"/>
                <w:lang w:bidi="ar"/>
              </w:rPr>
            </w:pPr>
          </w:p>
        </w:tc>
        <w:tc>
          <w:tcPr>
            <w:tcW w:w="1803" w:type="pct"/>
            <w:tcBorders>
              <w:top w:val="single" w:color="000000" w:sz="4" w:space="0"/>
              <w:left w:val="single" w:color="000000" w:sz="4" w:space="0"/>
              <w:bottom w:val="single" w:color="auto" w:sz="4" w:space="0"/>
              <w:right w:val="single" w:color="000000" w:sz="4" w:space="0"/>
            </w:tcBorders>
            <w:shd w:val="clear" w:color="auto" w:fill="auto"/>
            <w:vAlign w:val="center"/>
          </w:tcPr>
          <w:p w14:paraId="472F77C6">
            <w:pPr>
              <w:keepNext w:val="0"/>
              <w:keepLines w:val="0"/>
              <w:widowControl/>
              <w:suppressLineNumbers w:val="0"/>
              <w:jc w:val="both"/>
              <w:textAlignment w:val="center"/>
              <w:rPr>
                <w:rFonts w:hint="eastAsia" w:ascii="宋体" w:hAnsi="宋体" w:eastAsia="宋体" w:cs="宋体"/>
                <w:color w:val="000000"/>
                <w:kern w:val="0"/>
                <w:sz w:val="28"/>
                <w:szCs w:val="28"/>
                <w:lang w:bidi="ar"/>
              </w:rPr>
            </w:pPr>
            <w:r>
              <w:rPr>
                <w:rFonts w:hint="eastAsia" w:ascii="宋体" w:hAnsi="宋体" w:eastAsia="宋体" w:cs="宋体"/>
                <w:i w:val="0"/>
                <w:iCs w:val="0"/>
                <w:color w:val="000000"/>
                <w:kern w:val="0"/>
                <w:sz w:val="28"/>
                <w:szCs w:val="28"/>
                <w:u w:val="none"/>
                <w:lang w:val="en-US" w:eastAsia="zh-CN" w:bidi="ar"/>
              </w:rPr>
              <w:t>显示所有机构的显示所有机构医务人员对肿瘤患者的随访工作统计。</w:t>
            </w:r>
          </w:p>
        </w:tc>
      </w:tr>
    </w:tbl>
    <w:p w14:paraId="247AC39F">
      <w:pPr>
        <w:pStyle w:val="3"/>
        <w:bidi w:val="0"/>
        <w:rPr>
          <w:rFonts w:hint="eastAsia" w:ascii="宋体" w:hAnsi="宋体" w:eastAsia="宋体" w:cs="宋体"/>
          <w:lang w:val="en-US" w:eastAsia="zh-CN"/>
        </w:rPr>
      </w:pPr>
      <w:bookmarkStart w:id="154" w:name="_Toc10925"/>
      <w:bookmarkStart w:id="155" w:name="_Toc25137"/>
      <w:bookmarkStart w:id="156" w:name="_Toc24023"/>
      <w:r>
        <w:rPr>
          <w:rFonts w:hint="eastAsia" w:ascii="宋体" w:hAnsi="宋体" w:eastAsia="宋体" w:cs="宋体"/>
          <w:lang w:val="en-US" w:eastAsia="zh-CN"/>
        </w:rPr>
        <w:t>4.3业务运营服务</w:t>
      </w:r>
      <w:bookmarkEnd w:id="154"/>
      <w:bookmarkEnd w:id="155"/>
      <w:bookmarkEnd w:id="156"/>
    </w:p>
    <w:p w14:paraId="55388F70">
      <w:pPr>
        <w:pStyle w:val="4"/>
        <w:bidi w:val="0"/>
        <w:rPr>
          <w:rFonts w:hint="eastAsia" w:ascii="宋体" w:hAnsi="宋体" w:eastAsia="宋体" w:cs="宋体"/>
          <w:lang w:val="en-US" w:eastAsia="zh-CN"/>
        </w:rPr>
      </w:pPr>
      <w:bookmarkStart w:id="157" w:name="_Toc2251"/>
      <w:bookmarkStart w:id="158" w:name="_Toc881358237"/>
      <w:bookmarkStart w:id="159" w:name="_Toc32110"/>
      <w:bookmarkStart w:id="160" w:name="_Toc27975"/>
      <w:bookmarkStart w:id="161" w:name="_Toc144"/>
      <w:r>
        <w:rPr>
          <w:rFonts w:hint="eastAsia" w:ascii="宋体" w:hAnsi="宋体" w:eastAsia="宋体" w:cs="宋体"/>
          <w:lang w:val="en-US" w:eastAsia="zh-CN"/>
        </w:rPr>
        <w:t>4.3.1服务运营</w:t>
      </w:r>
      <w:bookmarkEnd w:id="157"/>
      <w:bookmarkEnd w:id="158"/>
      <w:bookmarkEnd w:id="159"/>
      <w:bookmarkEnd w:id="160"/>
      <w:bookmarkEnd w:id="161"/>
    </w:p>
    <w:p w14:paraId="682BB6C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专科体系设计：明确专科的定位和发展目标，指导专科的建设方向，制定专科发展路线图，分阶段实施，确保专科建设稳步推进。</w:t>
      </w:r>
    </w:p>
    <w:p w14:paraId="23063910">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服务机制与流程管理：建立科学合理的服务机制，优化患者就诊流程，提高诊疗效率。通过信息化手段实现服务流程的可视化管理，便于监控和优化。</w:t>
      </w:r>
    </w:p>
    <w:p w14:paraId="13716E86">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业务职责设计：明确各级医务人员的职责分工，制定责任评价体系，对各岗位人员的工作进行定期评价，制定责任评价体系，对各岗位人员的工作进行定期评价，根据责任评价结果，实施奖惩机制</w:t>
      </w:r>
    </w:p>
    <w:p w14:paraId="26FE2B7D">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绩效考核机制设计：将各项工作指标量化，制定细化的绩效考核标准。定期对各岗位人员进行绩效考核，及时发现问题并进行反馈。</w:t>
      </w:r>
    </w:p>
    <w:p w14:paraId="135B280D">
      <w:pPr>
        <w:pStyle w:val="4"/>
        <w:bidi w:val="0"/>
        <w:rPr>
          <w:rFonts w:hint="eastAsia" w:ascii="宋体" w:hAnsi="宋体" w:eastAsia="宋体" w:cs="宋体"/>
          <w:lang w:val="en-US" w:eastAsia="zh-CN"/>
        </w:rPr>
      </w:pPr>
      <w:bookmarkStart w:id="162" w:name="_Toc1793175900"/>
      <w:bookmarkStart w:id="163" w:name="_Toc31318"/>
      <w:bookmarkStart w:id="164" w:name="_Toc24216"/>
      <w:bookmarkStart w:id="165" w:name="_Toc20586"/>
      <w:bookmarkStart w:id="166" w:name="_Toc24280"/>
      <w:r>
        <w:rPr>
          <w:rFonts w:hint="eastAsia" w:ascii="宋体" w:hAnsi="宋体" w:eastAsia="宋体" w:cs="宋体"/>
          <w:lang w:val="en-US" w:eastAsia="zh-CN"/>
        </w:rPr>
        <w:t>4.3.2用户运营</w:t>
      </w:r>
      <w:bookmarkEnd w:id="162"/>
      <w:bookmarkEnd w:id="163"/>
      <w:bookmarkEnd w:id="164"/>
      <w:bookmarkEnd w:id="165"/>
      <w:bookmarkEnd w:id="166"/>
    </w:p>
    <w:p w14:paraId="0BE02CF5">
      <w:pPr>
        <w:keepNext w:val="0"/>
        <w:keepLines w:val="0"/>
        <w:pageBreakBefore w:val="0"/>
        <w:widowControl w:val="0"/>
        <w:kinsoku/>
        <w:wordWrap/>
        <w:overflowPunct/>
        <w:topLinePunct w:val="0"/>
        <w:autoSpaceDE/>
        <w:autoSpaceDN/>
        <w:bidi w:val="0"/>
        <w:adjustRightInd/>
        <w:snapToGrid/>
        <w:spacing w:after="157" w:afterLines="50"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专属运营人员配置和服务机制，有效提升医生及管理用户的工作效率和满意度，进而全面提升项目的整体运营水平和服务质量。</w:t>
      </w:r>
    </w:p>
    <w:p w14:paraId="5E80ECEC">
      <w:pPr>
        <w:ind w:firstLine="560" w:firstLineChars="200"/>
        <w:rPr>
          <w:rFonts w:hint="eastAsia" w:ascii="宋体" w:hAnsi="宋体" w:eastAsia="宋体" w:cs="宋体"/>
          <w:lang w:val="en-US" w:eastAsia="zh-CN"/>
        </w:rPr>
      </w:pPr>
      <w:r>
        <w:rPr>
          <w:rFonts w:hint="eastAsia" w:ascii="宋体" w:hAnsi="宋体" w:eastAsia="宋体" w:cs="宋体"/>
          <w:sz w:val="28"/>
          <w:szCs w:val="28"/>
          <w:lang w:val="en-US" w:eastAsia="zh-CN"/>
        </w:rPr>
        <w:t>提供基于数据分析的改进建议，有行业专家提供专业指导。</w:t>
      </w:r>
    </w:p>
    <w:p w14:paraId="77029C6C">
      <w:pPr>
        <w:pStyle w:val="2"/>
        <w:rPr>
          <w:rFonts w:hint="eastAsia" w:ascii="宋体" w:hAnsi="宋体" w:eastAsia="宋体" w:cs="宋体"/>
        </w:rPr>
      </w:pPr>
      <w:bookmarkStart w:id="167" w:name="_Toc23999"/>
      <w:bookmarkStart w:id="168" w:name="_Toc21959"/>
      <w:bookmarkStart w:id="169" w:name="_Toc29014"/>
      <w:r>
        <w:rPr>
          <w:rFonts w:hint="eastAsia" w:ascii="宋体" w:hAnsi="宋体" w:eastAsia="宋体" w:cs="宋体"/>
        </w:rPr>
        <w:t>预期成效</w:t>
      </w:r>
      <w:bookmarkEnd w:id="167"/>
      <w:bookmarkEnd w:id="168"/>
      <w:bookmarkEnd w:id="169"/>
    </w:p>
    <w:p w14:paraId="09AC228C">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1、提升医院肿瘤病防治水平，肿瘤“防筛治</w:t>
      </w:r>
      <w:r>
        <w:rPr>
          <w:rFonts w:hint="eastAsia" w:ascii="宋体" w:hAnsi="宋体" w:eastAsia="宋体" w:cs="宋体"/>
          <w:sz w:val="28"/>
          <w:szCs w:val="28"/>
          <w:lang w:val="en-US" w:eastAsia="zh-CN"/>
        </w:rPr>
        <w:t>管</w:t>
      </w:r>
      <w:r>
        <w:rPr>
          <w:rFonts w:hint="eastAsia" w:ascii="宋体" w:hAnsi="宋体" w:eastAsia="宋体" w:cs="宋体"/>
          <w:sz w:val="28"/>
          <w:szCs w:val="28"/>
        </w:rPr>
        <w:t>康”一体化服务体系，提高重点癌种早诊率与居民癌症防治知识知晓率。</w:t>
      </w:r>
    </w:p>
    <w:p w14:paraId="5EE0C86E">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2、培养一批专业的肿瘤防治管理团队，建立癌症筛查机制和实践模范。</w:t>
      </w:r>
    </w:p>
    <w:p w14:paraId="4747622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3、提升医院品牌价值，吸引更多患者就诊。</w:t>
      </w:r>
    </w:p>
    <w:p w14:paraId="558E7345">
      <w:pPr>
        <w:spacing w:after="156" w:afterLines="5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4、提高肿瘤患者康复效果，降低肿瘤病的发病率和死亡率，降低恶性肿瘤医疗费用支出。</w:t>
      </w:r>
    </w:p>
    <w:p w14:paraId="25B5548C">
      <w:pPr>
        <w:rPr>
          <w:rFonts w:hint="eastAsia" w:ascii="宋体" w:hAnsi="宋体" w:eastAsia="宋体" w:cs="宋体"/>
        </w:rPr>
      </w:pPr>
      <w:r>
        <w:rPr>
          <w:rFonts w:hint="eastAsia" w:ascii="宋体" w:hAnsi="宋体" w:eastAsia="宋体" w:cs="宋体"/>
          <w:sz w:val="28"/>
          <w:szCs w:val="28"/>
        </w:rPr>
        <w:t>5、提高临床服务能力，建设高水平的肿瘤专科学科能力。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F6F2C1"/>
    <w:multiLevelType w:val="singleLevel"/>
    <w:tmpl w:val="B6F6F2C1"/>
    <w:lvl w:ilvl="0" w:tentative="0">
      <w:start w:val="1"/>
      <w:numFmt w:val="decimal"/>
      <w:suff w:val="nothing"/>
      <w:lvlText w:val="%1、"/>
      <w:lvlJc w:val="left"/>
    </w:lvl>
  </w:abstractNum>
  <w:abstractNum w:abstractNumId="1">
    <w:nsid w:val="53FF12C3"/>
    <w:multiLevelType w:val="singleLevel"/>
    <w:tmpl w:val="53FF12C3"/>
    <w:lvl w:ilvl="0" w:tentative="0">
      <w:start w:val="1"/>
      <w:numFmt w:val="bullet"/>
      <w:lvlText w:val=""/>
      <w:lvlJc w:val="left"/>
      <w:pPr>
        <w:tabs>
          <w:tab w:val="left" w:pos="420"/>
        </w:tabs>
        <w:ind w:left="840" w:hanging="420"/>
      </w:pPr>
      <w:rPr>
        <w:rFonts w:hint="default" w:ascii="Wingdings" w:hAnsi="Wingdings"/>
      </w:rPr>
    </w:lvl>
  </w:abstractNum>
  <w:abstractNum w:abstractNumId="2">
    <w:nsid w:val="74B80A1F"/>
    <w:multiLevelType w:val="multilevel"/>
    <w:tmpl w:val="74B80A1F"/>
    <w:lvl w:ilvl="0" w:tentative="0">
      <w:start w:val="1"/>
      <w:numFmt w:val="bullet"/>
      <w:lvlText w:val=""/>
      <w:lvlJc w:val="left"/>
      <w:pPr>
        <w:ind w:left="982" w:hanging="420"/>
      </w:pPr>
      <w:rPr>
        <w:rFonts w:hint="default" w:ascii="Wingdings" w:hAnsi="Wingdings"/>
      </w:rPr>
    </w:lvl>
    <w:lvl w:ilvl="1" w:tentative="0">
      <w:start w:val="1"/>
      <w:numFmt w:val="bullet"/>
      <w:lvlText w:val=""/>
      <w:lvlJc w:val="left"/>
      <w:pPr>
        <w:ind w:left="1402" w:hanging="420"/>
      </w:pPr>
      <w:rPr>
        <w:rFonts w:hint="default" w:ascii="Wingdings" w:hAnsi="Wingdings"/>
      </w:rPr>
    </w:lvl>
    <w:lvl w:ilvl="2" w:tentative="0">
      <w:start w:val="1"/>
      <w:numFmt w:val="bullet"/>
      <w:lvlText w:val=""/>
      <w:lvlJc w:val="left"/>
      <w:pPr>
        <w:ind w:left="1822" w:hanging="420"/>
      </w:pPr>
      <w:rPr>
        <w:rFonts w:hint="default" w:ascii="Wingdings" w:hAnsi="Wingdings"/>
      </w:rPr>
    </w:lvl>
    <w:lvl w:ilvl="3" w:tentative="0">
      <w:start w:val="1"/>
      <w:numFmt w:val="bullet"/>
      <w:lvlText w:val=""/>
      <w:lvlJc w:val="left"/>
      <w:pPr>
        <w:ind w:left="2242" w:hanging="420"/>
      </w:pPr>
      <w:rPr>
        <w:rFonts w:hint="default" w:ascii="Wingdings" w:hAnsi="Wingdings"/>
      </w:rPr>
    </w:lvl>
    <w:lvl w:ilvl="4" w:tentative="0">
      <w:start w:val="1"/>
      <w:numFmt w:val="bullet"/>
      <w:lvlText w:val=""/>
      <w:lvlJc w:val="left"/>
      <w:pPr>
        <w:ind w:left="2662" w:hanging="420"/>
      </w:pPr>
      <w:rPr>
        <w:rFonts w:hint="default" w:ascii="Wingdings" w:hAnsi="Wingdings"/>
      </w:rPr>
    </w:lvl>
    <w:lvl w:ilvl="5" w:tentative="0">
      <w:start w:val="1"/>
      <w:numFmt w:val="bullet"/>
      <w:lvlText w:val=""/>
      <w:lvlJc w:val="left"/>
      <w:pPr>
        <w:ind w:left="3082" w:hanging="420"/>
      </w:pPr>
      <w:rPr>
        <w:rFonts w:hint="default" w:ascii="Wingdings" w:hAnsi="Wingdings"/>
      </w:rPr>
    </w:lvl>
    <w:lvl w:ilvl="6" w:tentative="0">
      <w:start w:val="1"/>
      <w:numFmt w:val="bullet"/>
      <w:lvlText w:val=""/>
      <w:lvlJc w:val="left"/>
      <w:pPr>
        <w:ind w:left="3502" w:hanging="420"/>
      </w:pPr>
      <w:rPr>
        <w:rFonts w:hint="default" w:ascii="Wingdings" w:hAnsi="Wingdings"/>
      </w:rPr>
    </w:lvl>
    <w:lvl w:ilvl="7" w:tentative="0">
      <w:start w:val="1"/>
      <w:numFmt w:val="bullet"/>
      <w:lvlText w:val=""/>
      <w:lvlJc w:val="left"/>
      <w:pPr>
        <w:ind w:left="3922" w:hanging="420"/>
      </w:pPr>
      <w:rPr>
        <w:rFonts w:hint="default" w:ascii="Wingdings" w:hAnsi="Wingdings"/>
      </w:rPr>
    </w:lvl>
    <w:lvl w:ilvl="8" w:tentative="0">
      <w:start w:val="1"/>
      <w:numFmt w:val="bullet"/>
      <w:lvlText w:val=""/>
      <w:lvlJc w:val="left"/>
      <w:pPr>
        <w:ind w:left="4342" w:hanging="420"/>
      </w:pPr>
      <w:rPr>
        <w:rFonts w:hint="default" w:ascii="Wingdings" w:hAnsi="Wingdings"/>
      </w:rPr>
    </w:lvl>
  </w:abstractNum>
  <w:abstractNum w:abstractNumId="3">
    <w:nsid w:val="7B7EF887"/>
    <w:multiLevelType w:val="singleLevel"/>
    <w:tmpl w:val="7B7EF887"/>
    <w:lvl w:ilvl="0" w:tentative="0">
      <w:start w:val="1"/>
      <w:numFmt w:val="chineseCounting"/>
      <w:pStyle w:val="2"/>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416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28"/>
      <w:szCs w:val="22"/>
      <w:lang w:val="en-US" w:eastAsia="zh-CN" w:bidi="ar-SA"/>
    </w:rPr>
  </w:style>
  <w:style w:type="paragraph" w:styleId="2">
    <w:name w:val="heading 1"/>
    <w:basedOn w:val="1"/>
    <w:next w:val="1"/>
    <w:qFormat/>
    <w:uiPriority w:val="0"/>
    <w:pPr>
      <w:numPr>
        <w:ilvl w:val="0"/>
        <w:numId w:val="1"/>
      </w:numPr>
      <w:spacing w:after="50" w:afterLines="50" w:line="360" w:lineRule="auto"/>
      <w:outlineLvl w:val="0"/>
    </w:pPr>
    <w:rPr>
      <w:rFonts w:ascii="宋体" w:hAnsi="宋体" w:eastAsia="仿宋" w:cs="宋体"/>
      <w:b/>
      <w:sz w:val="28"/>
      <w:szCs w:val="28"/>
    </w:rPr>
  </w:style>
  <w:style w:type="paragraph" w:styleId="3">
    <w:name w:val="heading 2"/>
    <w:basedOn w:val="1"/>
    <w:next w:val="1"/>
    <w:unhideWhenUsed/>
    <w:qFormat/>
    <w:uiPriority w:val="0"/>
    <w:pPr>
      <w:numPr>
        <w:ilvl w:val="0"/>
        <w:numId w:val="0"/>
      </w:numPr>
      <w:spacing w:after="50" w:afterLines="50" w:line="360" w:lineRule="auto"/>
      <w:outlineLvl w:val="1"/>
    </w:pPr>
    <w:rPr>
      <w:rFonts w:ascii="宋体" w:hAnsi="宋体" w:eastAsia="仿宋" w:cs="宋体"/>
      <w:b/>
      <w:sz w:val="28"/>
      <w:szCs w:val="28"/>
    </w:rPr>
  </w:style>
  <w:style w:type="paragraph" w:styleId="4">
    <w:name w:val="heading 3"/>
    <w:basedOn w:val="1"/>
    <w:next w:val="1"/>
    <w:unhideWhenUsed/>
    <w:qFormat/>
    <w:uiPriority w:val="0"/>
    <w:pPr>
      <w:spacing w:line="360" w:lineRule="auto"/>
      <w:ind w:firstLine="561"/>
      <w:outlineLvl w:val="2"/>
    </w:pPr>
    <w:rPr>
      <w:rFonts w:eastAsia="仿宋" w:asciiTheme="minorAscii" w:hAnsiTheme="minorAscii"/>
      <w:b/>
      <w:sz w:val="28"/>
    </w:rPr>
  </w:style>
  <w:style w:type="paragraph" w:styleId="5">
    <w:name w:val="heading 4"/>
    <w:basedOn w:val="1"/>
    <w:next w:val="1"/>
    <w:unhideWhenUsed/>
    <w:qFormat/>
    <w:uiPriority w:val="0"/>
    <w:pPr>
      <w:spacing w:beforeAutospacing="1" w:afterAutospacing="1"/>
      <w:ind w:firstLine="420" w:firstLineChars="200"/>
      <w:jc w:val="left"/>
      <w:outlineLvl w:val="3"/>
    </w:pPr>
    <w:rPr>
      <w:rFonts w:hint="eastAsia" w:ascii="宋体" w:hAnsi="宋体" w:eastAsia="仿宋" w:cs="Times New Roman"/>
      <w:b/>
      <w:bCs/>
      <w:kern w:val="0"/>
    </w:rPr>
  </w:style>
  <w:style w:type="paragraph" w:styleId="6">
    <w:name w:val="heading 5"/>
    <w:basedOn w:val="1"/>
    <w:next w:val="1"/>
    <w:unhideWhenUsed/>
    <w:qFormat/>
    <w:uiPriority w:val="0"/>
    <w:pPr>
      <w:keepNext/>
      <w:keepLines/>
      <w:spacing w:before="280" w:after="290" w:line="372" w:lineRule="auto"/>
      <w:ind w:firstLine="420" w:firstLineChars="200"/>
      <w:outlineLvl w:val="4"/>
    </w:pPr>
    <w:rPr>
      <w:rFonts w:ascii="仿宋" w:hAnsi="仿宋" w:eastAsia="仿宋"/>
      <w:b/>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2025-03-23T17:24:14Z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eyJoZGlkIjoiNjFmN2ZkZjhkZGQ5NDFmMzA2ZWU0YzUyN2M4ZDNhZmUifQ==</vt:lpwstr>
  </property>
  <property fmtid="{D5CDD505-2E9C-101B-9397-08002B2CF9AE}" pid="4" name="ICV">
    <vt:lpwstr>C777B68AC6FE4D7B8D2FC7A639C554E6_12</vt:lpwstr>
  </property>
</Properties>
</file>